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D6A98E" w14:textId="77777777" w:rsidR="00F34684" w:rsidRDefault="00553D4F">
      <w:r>
        <w:t>Characterizing the Transcriptomic Recurrence Signature of Glioblastoma Following Laser Interstitial Thermal Therapy</w:t>
      </w:r>
    </w:p>
    <w:p w14:paraId="13336B14" w14:textId="77777777" w:rsidR="00F34684" w:rsidRDefault="00F34684"/>
    <w:p w14:paraId="369FA479" w14:textId="7D962C41" w:rsidR="00F34684" w:rsidRDefault="00553D4F">
      <w:r w:rsidRPr="00873B4F">
        <w:rPr>
          <w:b/>
          <w:bCs/>
        </w:rPr>
        <w:t>Introduction</w:t>
      </w:r>
      <w:r w:rsidR="00370E99" w:rsidRPr="00873B4F">
        <w:rPr>
          <w:b/>
          <w:bCs/>
        </w:rPr>
        <w:t>:</w:t>
      </w:r>
      <w:r>
        <w:t xml:space="preserve"> Laser </w:t>
      </w:r>
      <w:r w:rsidR="00A402BD">
        <w:t xml:space="preserve">interstitial thermal therapy </w:t>
      </w:r>
      <w:r>
        <w:t xml:space="preserve">(LITT) </w:t>
      </w:r>
      <w:r w:rsidR="00370E99">
        <w:t xml:space="preserve">is a minimally invasive treatment for </w:t>
      </w:r>
      <w:r w:rsidR="00B551C1">
        <w:t>glioblastoma (GBM)</w:t>
      </w:r>
      <w:r w:rsidR="00370E99">
        <w:t xml:space="preserve"> cytoreduction via thermal coagulation of the tumor mass. It</w:t>
      </w:r>
      <w:r w:rsidR="00B551C1">
        <w:t xml:space="preserve"> </w:t>
      </w:r>
      <w:r>
        <w:t xml:space="preserve">leaves a sublethal thermal penumbra where resistant </w:t>
      </w:r>
      <w:r w:rsidR="00B551C1">
        <w:t xml:space="preserve">tumor </w:t>
      </w:r>
      <w:r>
        <w:t>cells persist, yet the molecular basis of this adaptation is poorly understood. We hypothesized that post-LITT recurrence carries a distinct transcriptomic signature relative to the pre-LITT primary tumor and sought druggable targets.</w:t>
      </w:r>
    </w:p>
    <w:p w14:paraId="2575975E" w14:textId="77777777" w:rsidR="00F34684" w:rsidRDefault="00F34684"/>
    <w:p w14:paraId="2B3CA9B9" w14:textId="00C6DFCD" w:rsidR="00F34684" w:rsidRDefault="00553D4F">
      <w:r w:rsidRPr="00873B4F">
        <w:rPr>
          <w:b/>
          <w:bCs/>
        </w:rPr>
        <w:t>Methods</w:t>
      </w:r>
      <w:r w:rsidR="00B551C1">
        <w:t>:</w:t>
      </w:r>
      <w:r>
        <w:t xml:space="preserve"> Orthotopic U251</w:t>
      </w:r>
      <w:r w:rsidR="00B551C1">
        <w:t>N</w:t>
      </w:r>
      <w:r>
        <w:t xml:space="preserve"> GBM xenografts in RNU</w:t>
      </w:r>
      <w:r w:rsidR="00B551C1">
        <w:t>/RNU</w:t>
      </w:r>
      <w:r>
        <w:t xml:space="preserve"> rats underwent MRI-guided LITT. Bulk RNA-seq from </w:t>
      </w:r>
      <w:r w:rsidR="00B551C1">
        <w:t xml:space="preserve">primary </w:t>
      </w:r>
      <w:r>
        <w:t xml:space="preserve">(pre-LITT, n=3) and </w:t>
      </w:r>
      <w:r w:rsidR="00B551C1">
        <w:t xml:space="preserve">recurrent </w:t>
      </w:r>
      <w:r>
        <w:t xml:space="preserve">(post-LITT, n=3) tumors </w:t>
      </w:r>
      <w:r w:rsidR="00A402BD">
        <w:t xml:space="preserve">were </w:t>
      </w:r>
      <w:r>
        <w:t>analyzed after xengsort cross-species read sorting (k=25); residual host contamination was tested and found negligible. Differential expression used DESeq2 (Wald test, ashr shrinkage, BH/independent filtering) via nf-core/differentialabundance; global structure by PCA/PERMANOVA on variance-stabilized counts; subtypes by GSVA with limma; drugs prioritized by Integrated Score (|NES|^1.5 × BBB).</w:t>
      </w:r>
    </w:p>
    <w:p w14:paraId="5147D700" w14:textId="77777777" w:rsidR="00F34684" w:rsidRDefault="00F34684"/>
    <w:p w14:paraId="4C100F10" w14:textId="6F51CCF5" w:rsidR="00F34684" w:rsidRDefault="00553D4F">
      <w:r w:rsidRPr="00873B4F">
        <w:rPr>
          <w:rFonts w:ascii="Arial Unicode MS" w:eastAsia="Arial Unicode MS" w:hAnsi="Arial Unicode MS" w:cs="Arial Unicode MS"/>
          <w:b/>
          <w:bCs/>
        </w:rPr>
        <w:t>Results</w:t>
      </w:r>
      <w:r w:rsidR="00B551C1">
        <w:rPr>
          <w:rFonts w:ascii="Arial Unicode MS" w:eastAsia="Arial Unicode MS" w:hAnsi="Arial Unicode MS" w:cs="Arial Unicode MS"/>
          <w:b/>
          <w:bCs/>
        </w:rPr>
        <w:t>:</w:t>
      </w:r>
      <w:r w:rsidR="00B551C1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Primary and </w:t>
      </w:r>
      <w:r w:rsidR="00B551C1">
        <w:rPr>
          <w:rFonts w:ascii="Arial Unicode MS" w:eastAsia="Arial Unicode MS" w:hAnsi="Arial Unicode MS" w:cs="Arial Unicode MS"/>
        </w:rPr>
        <w:t xml:space="preserve">recurrent </w:t>
      </w:r>
      <w:r>
        <w:rPr>
          <w:rFonts w:ascii="Arial Unicode MS" w:eastAsia="Arial Unicode MS" w:hAnsi="Arial Unicode MS" w:cs="Arial Unicode MS"/>
        </w:rPr>
        <w:t>tumors separated by PCA (PC1 41.8%, PC2 26.2%; PERMANOVA R²=0.278). DESeq2 identified 35 genes (23 up, 12 down). GSEA showed dominant downregulation of the translational machinery in recurrence</w:t>
      </w:r>
      <w:r w:rsidR="00B551C1"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eukaryotic translation elongation (NES=−3.17, FDR=1.6×10⁻²⁶), ribosome, translation initiation, and the EIF2AK4/GCN2 amino-acid-starvation response</w:t>
      </w:r>
      <w:r w:rsidR="00B551C1"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 xml:space="preserve">indicating translational shutdown with integrated stress; </w:t>
      </w:r>
      <w:commentRangeStart w:id="0"/>
      <w:r>
        <w:rPr>
          <w:rFonts w:ascii="Arial Unicode MS" w:eastAsia="Arial Unicode MS" w:hAnsi="Arial Unicode MS" w:cs="Arial Unicode MS"/>
        </w:rPr>
        <w:t>this is robust to contamination</w:t>
      </w:r>
      <w:commentRangeEnd w:id="0"/>
      <w:r w:rsidR="000501F4">
        <w:rPr>
          <w:rStyle w:val="CommentReference"/>
          <w:rFonts w:ascii="Arial Unicode MS" w:eastAsia="Arial Unicode MS" w:hAnsi="Arial Unicode MS" w:cs="Arial Unicode MS"/>
          <w:sz w:val="22"/>
          <w:szCs w:val="22"/>
        </w:rPr>
        <w:commentReference w:id="0"/>
      </w:r>
      <w:r>
        <w:rPr>
          <w:rFonts w:ascii="Arial Unicode MS" w:eastAsia="Arial Unicode MS" w:hAnsi="Arial Unicode MS" w:cs="Arial Unicode MS"/>
        </w:rPr>
        <w:t xml:space="preserve"> (which would bias ribosomal genes upward, opposite the finding). Subtypes shifted toward Garofano Mitochondrial and away from Neftel Astrocyte-like/NPC-like states. Network hubs were ECM/calcium genes (BGN, COL1A1, IGFBP3, CALB1). Drug prioritization nominated the iron-chelator/HIF agent ciclopirox (Integrated Score 3.40, BBB 1.0, phase 4) and HIF-stabilizer dimethyloxalylglycine (3.04); the PI3K/mTOR inhibitor LY-294002 ranked 7th (2.40), consistent with the translational/mTOR axis above.</w:t>
      </w:r>
    </w:p>
    <w:p w14:paraId="1F1EC084" w14:textId="77777777" w:rsidR="00F34684" w:rsidRDefault="00F34684"/>
    <w:p w14:paraId="79CC4A69" w14:textId="78820256" w:rsidR="00F34684" w:rsidRDefault="00553D4F">
      <w:r w:rsidRPr="00873B4F">
        <w:rPr>
          <w:b/>
          <w:bCs/>
        </w:rPr>
        <w:t>Conclusions</w:t>
      </w:r>
      <w:r w:rsidR="00B551C1">
        <w:rPr>
          <w:b/>
          <w:bCs/>
        </w:rPr>
        <w:t>:</w:t>
      </w:r>
      <w:r w:rsidR="00B551C1">
        <w:t xml:space="preserve"> </w:t>
      </w:r>
      <w:r w:rsidR="00D13D22">
        <w:t>T</w:t>
      </w:r>
      <w:r>
        <w:t xml:space="preserve">ranslational shutdown, </w:t>
      </w:r>
      <w:r w:rsidR="00D13D22">
        <w:t xml:space="preserve">characterized by </w:t>
      </w:r>
      <w:r>
        <w:t>an integrated stress/starvation response and a mitochondrial-metabolic subtype shift</w:t>
      </w:r>
      <w:r w:rsidR="00D13D22">
        <w:t>,</w:t>
      </w:r>
      <w:r w:rsidR="00B551C1">
        <w:t xml:space="preserve"> </w:t>
      </w:r>
      <w:r w:rsidR="00D13D22">
        <w:t xml:space="preserve">seems to be one post-LITT recurrence mechanism, </w:t>
      </w:r>
      <w:r>
        <w:t>consistent with stress-adapted</w:t>
      </w:r>
      <w:r w:rsidR="00D13D22">
        <w:t>,</w:t>
      </w:r>
      <w:r>
        <w:t xml:space="preserve"> persiste</w:t>
      </w:r>
      <w:r w:rsidR="00B551C1">
        <w:t>nt</w:t>
      </w:r>
      <w:r>
        <w:t xml:space="preserve"> cells. HIF/iron-axis agents (ciclopirox, DMOG, </w:t>
      </w:r>
      <w:r w:rsidR="00A402BD">
        <w:rPr>
          <w:rFonts w:ascii="Arial Unicode MS" w:eastAsia="Arial Unicode MS" w:hAnsi="Arial Unicode MS" w:cs="Arial Unicode MS"/>
        </w:rPr>
        <w:t>LY-294002</w:t>
      </w:r>
      <w:r>
        <w:t xml:space="preserve">) emerge as </w:t>
      </w:r>
      <w:r w:rsidR="00A402BD">
        <w:t xml:space="preserve">potential </w:t>
      </w:r>
      <w:r>
        <w:t>therapeutic candidates.</w:t>
      </w:r>
    </w:p>
    <w:p w14:paraId="2D4FA2C5" w14:textId="77777777" w:rsidR="00F34684" w:rsidRDefault="00F34684"/>
    <w:p w14:paraId="63242686" w14:textId="77777777" w:rsidR="00F34684" w:rsidRDefault="00553D4F">
      <w:r>
        <w:rPr>
          <w:noProof/>
        </w:rPr>
        <w:lastRenderedPageBreak/>
        <w:drawing>
          <wp:inline distT="114300" distB="114300" distL="114300" distR="114300" wp14:anchorId="7CE6BD0A" wp14:editId="3AEF2B15">
            <wp:extent cx="6858000" cy="685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34684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garaja, Tavarekere" w:date="2026-05-26T13:42:00Z" w:initials="TN">
    <w:p w14:paraId="39492F24" w14:textId="77777777" w:rsidR="000501F4" w:rsidRDefault="000501F4" w:rsidP="000501F4">
      <w:pPr>
        <w:pStyle w:val="CommentText"/>
      </w:pPr>
      <w:r>
        <w:rPr>
          <w:rStyle w:val="CommentReference"/>
        </w:rPr>
        <w:annotationRef/>
      </w:r>
      <w:r>
        <w:t>Greg, you need to explain this to me.  What does ‘robust to contamination’ mean in this context?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492F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112D44" w16cex:dateUtc="2026-05-26T17:42:00Z">
    <w16cex:extLst>
      <w16:ext w16:uri="{CE6994B0-6A32-4C9F-8C6B-6E91EDA988CE}">
        <cr:reactions xmlns:cr="http://schemas.microsoft.com/office/comments/2020/reactions">
          <cr:reaction reactionType="1">
            <cr:reactionInfo dateUtc="2026-05-26T19:39:13Z">
              <cr:user userId="3ebd5e90a34fe85c" userProvider="Windows Live" userName="Gregory Schwing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492F24" w16cid:durableId="1E112D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24082F-1D3B-4DF8-BD76-D6864D73B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91AFA6-5105-4DBA-80E6-60DC91FF9834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garaja, Tavarekere">
    <w15:presenceInfo w15:providerId="AD" w15:userId="S::[withheld e-mail]::1759c58a-9166-4dcb-b78b-069248b2a6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684"/>
    <w:rsid w:val="000501F4"/>
    <w:rsid w:val="002B5DF5"/>
    <w:rsid w:val="00370E99"/>
    <w:rsid w:val="00553D4F"/>
    <w:rsid w:val="006C2A2C"/>
    <w:rsid w:val="00873B4F"/>
    <w:rsid w:val="00916BE1"/>
    <w:rsid w:val="00A402BD"/>
    <w:rsid w:val="00B36C0D"/>
    <w:rsid w:val="00B551C1"/>
    <w:rsid w:val="00CC0856"/>
    <w:rsid w:val="00D13D22"/>
    <w:rsid w:val="00F34684"/>
    <w:rsid w:val="00FD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4CAE"/>
  <w15:docId w15:val="{6F51E294-8F79-4AE1-8296-F38C7270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FD65D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50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0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01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0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01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ad4e763-6078-426c-a740-72edc17115fe}" enabled="1" method="Standard" siteId="{d3523db7-f84a-4a24-a815-cd4ba4691c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Henry Ford Health System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Nagaraja, Tavarekere</dc:creator>
  <cp:lastModifiedBy>Gregory Schwing</cp:lastModifiedBy>
  <cp:revision>6</cp:revision>
  <dcterms:created xsi:type="dcterms:W3CDTF">2026-05-26T17:14:00Z</dcterms:created>
  <dcterms:modified xsi:type="dcterms:W3CDTF">2026-05-26T19:39:00Z</dcterms:modified>
</cp:coreProperties>
</file>