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To: IRBQuestions@wayne.edu From: Gregory Schwing, MD, PhD — Resident Physician, General Surgery, Detroit Medical Center / Wayne State University School of Medicine — go2432@wayne.edu — [phone withheld] Faculty sponsor: Loren Schwiebert, PhD, Professor, Department of Computer Science Subject: HPR determination request — one dataset obtained under a data use agreement (follow-up to HPR 2026-269)</w:t>
      </w:r>
      <w:r/>
      <w:r/>
      <w:r/>
      <w:r/>
      <w:r/>
      <w:r/>
    </w:p>
    <w:p>
      <w:pPr>
        <w:pStyle w:val="BodyText"/>
      </w:pPr>
      <w:r>
        <w:t xml:space="preserve">Dear IRB Administration Office,</w:t>
      </w:r>
    </w:p>
    <w:p>
      <w:pPr>
        <w:pStyle w:val="BodyText"/>
      </w:pPr>
      <w:r>
        <w:t xml:space="preserve">On 2 September 2026 your office issued a Notice of IRB Administrative Determination (WSU IRB HPR Number 2026-269) that the project</w:t>
      </w:r>
      <w:r>
        <w:t xml:space="preserve"> </w:t>
      </w:r>
      <w:r>
        <w:t xml:space="preserve">“Open Spine Consortium: Secondary Analysis of Publicly Available, De-Identified Imaging Datasets and the Derived Annotations, Software, and Models Produced From Them”</w:t>
      </w:r>
      <w:r>
        <w:t xml:space="preserve"> </w:t>
      </w:r>
      <w:r>
        <w:t xml:space="preserve">does not constitute human participant research under 45 CFR 46 or the FDA regulations.</w:t>
      </w:r>
    </w:p>
    <w:p>
      <w:pPr>
        <w:pStyle w:val="BodyText"/>
      </w:pPr>
      <w:r>
        <w:t xml:space="preserve">The tool I submitted for that determination limited its scope, in item 7, to datasets that</w:t>
      </w:r>
      <w:r>
        <w:t xml:space="preserve"> </w:t>
      </w:r>
      <w:r>
        <w:t xml:space="preserve">“can be downloaded by any member of the public without an application, request for permission, eligibility review, or data use agreement,”</w:t>
      </w:r>
      <w:r>
        <w:t xml:space="preserve"> </w:t>
      </w:r>
      <w:r>
        <w:t xml:space="preserve">and stated that a dataset governed by a data use agreement</w:t>
      </w:r>
      <w:r>
        <w:t xml:space="preserve"> </w:t>
      </w:r>
      <w:r>
        <w:t xml:space="preserve">“falls outside this determination and a separate IRB submission will be made before that dataset is used.”</w:t>
      </w:r>
      <w:r>
        <w:t xml:space="preserve"> </w:t>
      </w:r>
      <w:r>
        <w:t xml:space="preserve">This is that separate submission. It covers one dataset:</w:t>
      </w:r>
    </w:p>
    <w:p>
      <w:pPr>
        <w:pStyle w:val="BodyText"/>
      </w:pPr>
      <w:r>
        <w:rPr>
          <w:b/>
          <w:bCs/>
        </w:rPr>
        <w:t xml:space="preserve">VinDr-SpineXR</w:t>
      </w:r>
      <w:r>
        <w:t xml:space="preserve"> </w:t>
      </w:r>
      <w:r>
        <w:t xml:space="preserve">(version 1.0.0): 10,466 de-identified spine radiographs from 5,000 studies, deposited on PhysioNet by its authors (Pham HH, Nguyen Trung H, Nguyen HQ, 2021; https://doi.org/10.13026/q45h-5h59) and served under the PhysioNet Restricted Health Data License 1.5.0 to registered users who accept the PhysioNet Restricted Health Data Use Agreement 1.5.0. This is PhysioNet’s restricted-access tier: an individual registered account and the agreement; no credentialing or CITI training is required. The account holder is me (PhysioNet username gschwing, registered with go2432@wayne.edu).</w:t>
      </w:r>
    </w:p>
    <w:p>
      <w:pPr>
        <w:pStyle w:val="BodyText"/>
      </w:pPr>
      <w:r>
        <w:t xml:space="preserve">The facts I ask the office to weigh: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 are de-identified by the depositor before release.</w:t>
      </w:r>
      <w:r>
        <w:t xml:space="preserve"> </w:t>
      </w:r>
      <w:r>
        <w:t xml:space="preserve">The depositors removed protected health information from the DICOM tags, removed patient information burned into the pixel data after manual inspection of every scan, and manually reviewed the de-identified images. Their own study was approved by the Institutional Review Boards of Hospital 108 and Hanoi Medical University Hospital with a waiver of informed consent (scans from 2011–2020). The investigators have no relationship with either hospital.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re-identification or contact is possible.</w:t>
      </w:r>
      <w:r>
        <w:t xml:space="preserve"> </w:t>
      </w:r>
      <w:r>
        <w:t xml:space="preserve">No key, code or linkage is supplied; the released per-image fields are the depositors’ study and image identifiers and their lesion annotations.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agreement’s terms are honoured.</w:t>
      </w:r>
      <w:r>
        <w:t xml:space="preserve"> </w:t>
      </w:r>
      <w:r>
        <w:t xml:space="preserve">Research use only; no re-identification attempt; no sharing of access; any identifying information found is to be reported to PHI-report@physionet.org; code arising from the data is released openly. The files reside only on the WSU High Performance Computing Grid in my own storage; no image, crop or derived frame is redistributed or included in any released dataset.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dataset has already been downloaded and used, and I disclose that plainly.</w:t>
      </w:r>
      <w:r>
        <w:t xml:space="preserve"> </w:t>
      </w:r>
      <w:r>
        <w:t xml:space="preserve">It was downloaded on 7 September 2026 — after the 2026-269 tool was completed (28 August) and after the determination issued (2 September) — and 2,071 of its films were used, cropped, as pseudo-labelled training data for a subset of models in a manuscript now in preparation; no VinDr-SpineXR image was used for testing, for any reported accuracy, or in any figure. The separate submission promised in item 7 should have preceded that use and did not. I submit it now and ask the office to determine whether this secondary analysis of a de-identified, agreement-governed dataset is human participant research. If the office determines that it is, the models trained on it will be withdrawn and retrained without it.</w:t>
      </w:r>
    </w:p>
    <w:p>
      <w:pPr>
        <w:pStyle w:val="FirstParagraph"/>
      </w:pPr>
      <w:r>
        <w:t xml:space="preserve">My own reading, offered for the office’s concurrence or correction: not human participant research, in the category</w:t>
      </w:r>
      <w:r>
        <w:t xml:space="preserve"> </w:t>
      </w:r>
      <w:r>
        <w:t xml:space="preserve">“De-Identified Private Information and/or Human Biological Specimens”</w:t>
      </w:r>
      <w:r>
        <w:t xml:space="preserve"> </w:t>
      </w:r>
      <w:r>
        <w:t xml:space="preserve">under which 2026-269 was issued. I note that the tool’s</w:t>
      </w:r>
      <w:r>
        <w:t xml:space="preserve"> </w:t>
      </w:r>
      <w:r>
        <w:t xml:space="preserve">“Public Use Datasets”</w:t>
      </w:r>
      <w:r>
        <w:t xml:space="preserve"> </w:t>
      </w:r>
      <w:r>
        <w:t xml:space="preserve">category carries the note that IRB approval is required where</w:t>
      </w:r>
      <w:r>
        <w:t xml:space="preserve"> </w:t>
      </w:r>
      <w:r>
        <w:t xml:space="preserve">“a data use agreement is involved”</w:t>
      </w:r>
      <w:r>
        <w:t xml:space="preserve">; this submission exists so that the office, not the investigator, decides which category governs.</w:t>
      </w:r>
    </w:p>
    <w:p>
      <w:pPr>
        <w:pStyle w:val="BodyText"/>
      </w:pPr>
      <w:r>
        <w:t xml:space="preserve">Attached: the completed determination tool (01), the 2026-269 memo (02), the tool as filed on 28 August 2026 (03). The PhysioNet project page (https://physionet.org/content/vindr-spinexr/1.0.0/), the licence and agreement text (https://physionet.org/content/vindr-spinexr/view-license/1.0.0/), and PhysioNet’s description of its access tiers (https://physionet.org/about/database/) are public pages; I can supply printouts on request. Dataset article: Nguyen HT, Pham HH, Nguyen NT, Nguyen HQ, Huynh TQ, Dao M, Vu V. VinDr-SpineXR: a deep learning framework for spinal lesions detection and classification from radiographs. MICCAI 2021.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Gregory Schwing, MD, PhD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2026-09-25T16:43:03Z</dcterms:created>
  <dcterms:modified xsi:type="dcterms:W3CDTF">2026-09-25T16:43:03Z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