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Meeting Agenda — Neurosurgical Department Conference + Möller Collaboration</w:t>
      </w:r>
    </w:p>
    <w:p>
      <w:pPr>
        <w:pStyle w:val="Heading1"/>
      </w:pPr>
      <w:r>
        <w:t xml:space="preserve">1. Student show-and-tell: miniprojects</w:t>
      </w:r>
    </w:p>
    <w:p>
      <w:pPr>
        <w:spacing w:after="120"/>
      </w:pPr>
      <w:r>
        <w:rPr>
          <w:i/>
          <w:iCs/>
        </w:rPr>
        <w:t xml:space="preserve">Each student presents briefly — scope, current status, blockers, next milestone.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1 — project, status, 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2 — project, status, 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3 — project, status, 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4 — project, status, 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feedback / cross-pollination between projects</w:t>
      </w:r>
    </w:p>
    <w:p>
      <w:pPr>
        <w:spacing w:after="120"/>
      </w:pPr>
      <w:r>
        <w:rPr>
          <w:b/>
          <w:bCs/>
        </w:rPr>
        <w:t xml:space="preserve">Deliverables / conclusions: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Shared running list of student projects, owners, and current blockers.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cross-project overlap (shared data, shared tooling).</w:t>
      </w:r>
    </w:p>
    <w:p>
      <w:pPr>
        <w:spacing w:after="120"/>
      </w:pPr>
      <w:r>
        <w:rPr>
          <w:b/>
          <w:bCs/>
        </w:rPr>
        <w:t xml:space="preserve">Open questions: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projects need compute allocation on Warrior in the next month?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projects that should be merged or wound down?</w:t>
      </w:r>
    </w:p>
    <w:p>
      <w:pPr>
        <w:pBdr>
          <w:bottom w:val="single" w:color="888888" w:sz="6" w:space="4"/>
        </w:pBdr>
        <w:spacing w:after="240" w:before="120"/>
      </w:pPr>
    </w:p>
    <w:p>
      <w:pPr>
        <w:pStyle w:val="Heading1"/>
      </w:pPr>
      <w:r>
        <w:t xml:space="preserve">2. Möller collaboration</w:t>
      </w:r>
    </w:p>
    <w:p>
      <w:pPr>
        <w:pStyle w:val="Heading2"/>
      </w:pPr>
      <w:r>
        <w:t xml:space="preserve">2.1 Key points from the discussion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Möller's framing: </w:t>
      </w:r>
      <w:r>
        <w:t xml:space="preserve">vertebral naming convention is the bottleneck; "measure everything" approach; classification depends on quantitative morphologic features.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My counter-framing: </w:t>
      </w:r>
      <w:r>
        <w:t xml:space="preserve">this is fundamentally a segmentation problem with labels attached, not a classification problem. What matters clinically is </w:t>
      </w:r>
      <w:r>
        <w:rPr>
          <w:b/>
          <w:bCs/>
        </w:rPr>
        <w:t xml:space="preserve">how many levels above the sacrum</w:t>
      </w:r>
      <w:r>
        <w:t xml:space="preserve"> a vertebra sits — radiologic naming (thoracic/lumbar) is an </w:t>
      </w:r>
      <w:r>
        <w:rPr>
          <w:b/>
          <w:bCs/>
        </w:rPr>
        <w:t xml:space="preserve">orthogonal problem</w:t>
      </w:r>
      <w:r>
        <w:t xml:space="preserve"> and downstream bookkeeping. Let the model see the whole spine in one patch and learn features itself.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Möller's VerSe naming rules</w:t>
      </w:r>
      <w:r>
        <w:t xml:space="preserve"> (for reference when reviewing their annotations):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Any rib (including stump rib) → thoracic. This directly contradicts standard radiologic criteria, </w:t>
      </w:r>
      <w:r>
        <w:t xml:space="preserve">under which a stump/rudimentary rib on an otherwise lumbar-morphology vertebra would not automatically reclassify it as thoracic. Möller's group adopted this rule for internal annotation consistency, not because it aligns with how radiologists name vertebrae in practice — which is exactly why I view naming convention as orthogonal to the segmentation/localization problem.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Costal process anterior to pedicle → thoracic; posterior → lumbar.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Castellvi vertebra → still considered lumbar; LSTV vertebra = last lumbar.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Ambiguous cases labeled T13 or T11.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Möller considers Castellvi classification itself trivial.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Annotation methodology: </w:t>
      </w:r>
      <w:r>
        <w:t xml:space="preserve">never segment from scratch — always start from a baseline and correct in ITK-SNAP. ~2–3 hours per spine to ~99%.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sharing: </w:t>
      </w:r>
      <w:r>
        <w:t xml:space="preserve">Möller open to sharing full CT spine dataset with intravertebral annotations privately, on condition we don't republish the dataset — only training products.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Incidental finding from their measurement work: </w:t>
      </w:r>
      <w:r>
        <w:t xml:space="preserve">AP axis tends to be smaller in females.</w:t>
      </w:r>
    </w:p>
    <w:p>
      <w:pPr>
        <w:pStyle w:val="Heading2"/>
      </w:pPr>
      <w:r>
        <w:t xml:space="preserve">2.2 My proposed naming convention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Segment any fully mobile vertebra as nonsacral; count up from sacrum (Sacrum, S-1, S-2, 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sidesteps the radiologic-vs-VerSe disagreement entirely because counting from the sacrum doesn't depend on whose naming rule you use.</w:t>
      </w:r>
    </w:p>
    <w:p>
      <w:pPr>
        <w:pStyle w:val="Heading2"/>
      </w:pPr>
      <w:r>
        <w:t xml:space="preserve">2.3 My training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Whole-spine single-patch training; </w:t>
      </w:r>
      <w:r>
        <w:t xml:space="preserve">patch volume custom-fit to sacrum + spine.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Pool memory across H200s if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Pre-crop images to spine region; augmentations: flipping, rotation, tilting.</w:t>
      </w:r>
    </w:p>
    <w:p>
      <w:pPr>
        <w:pStyle w:val="Heading2"/>
      </w:pPr>
      <w:r>
        <w:t xml:space="preserve">2.4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follow-up email to Möller confirming dataset-sharing terms in writing and proposing the ITK-SNAP tutorial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do we adopt Möller's naming convention for compatibility with VerSe/VERIDAH, run our own sacrum-up convention, or train with both as parallel label heads?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 summarizing whole-spine single-patch training plan to send Möller once early results are in.</w:t>
      </w:r>
    </w:p>
    <w:p>
      <w:pPr>
        <w:pStyle w:val="Heading2"/>
      </w:pPr>
      <w:r>
        <w:t xml:space="preserve">2.5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Compatibility: if we use a sacrum-up convention, can we still benchmark cleanly against VerSe/VERIDAH, or do we need a label-mapping layer?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Möller's dataset large enough on its own, or do we still need CTSpinoPelvic1K as the primary training set with theirs as a fine-tuning/eval set?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does the whole-spine patch strategy interact with limited-FOV scans at inference?</w:t>
      </w:r>
    </w:p>
    <w:p>
      <w:pPr>
        <w:pBdr>
          <w:bottom w:val="single" w:color="888888" w:sz="6" w:space="4"/>
        </w:pBdr>
        <w:spacing w:after="240" w:before="120"/>
      </w:pPr>
    </w:p>
    <w:p>
      <w:pPr>
        <w:pStyle w:val="Heading1"/>
      </w:pPr>
      <w:r>
        <w:t xml:space="preserve">3. Neurosurgical department conference</w:t>
      </w:r>
    </w:p>
    <w:p>
      <w:pPr>
        <w:pStyle w:val="Heading2"/>
      </w:pPr>
      <w:r>
        <w:t xml:space="preserve">3.1 Wrong-site surgery case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wrong-site spine surgery case was presented. The operating surgeon was open to working with 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This is the single best clinical motivation for the level-localization work</w:t>
      </w:r>
      <w:r>
        <w:t xml:space="preserve"> — a case from our own department, with a surgeon willing to engage.</w:t>
      </w:r>
    </w:p>
    <w:p>
      <w:pPr>
        <w:pStyle w:val="Heading2"/>
      </w:pPr>
      <w:r>
        <w:t xml:space="preserve">3.2 Bone quality and "falling forward" — proximal junctional failure</w:t>
      </w:r>
    </w:p>
    <w:p>
      <w:pPr>
        <w:spacing w:after="120"/>
      </w:pPr>
      <w:r>
        <w:t xml:space="preserve">A surgical planning pipeline should incorporate bone quality for hardware placement to prevent the patient "falling forward" post-op. Terminology: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Sagittal imbalance</w:t>
      </w:r>
      <w:r>
        <w:t xml:space="preserve"> — C7 plumb line anterior to sacrum; patient can't stand upright without hip/knee compensation. SVA &gt;5 cm correlates with disability.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Proximal junctional kyphosis (PJK)</w:t>
      </w:r>
      <w:r>
        <w:t xml:space="preserve"> — &gt;10° kyphosis between UIV and UIV+2 vs. baseline. Often radiographic-only.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Proximal junctional failure (PJF)</w:t>
      </w:r>
      <w:r>
        <w:t xml:space="preserve"> — catastrophic version: vertebral fracture at/above UIV, pedicle fracture, screw pullout, ligamentous disruption. </w:t>
      </w:r>
      <w:r>
        <w:rPr>
          <w:i/>
          <w:iCs/>
        </w:rPr>
        <w:t xml:space="preserve">This is what "falling forward" actually refers 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Why bone quality matters: </w:t>
      </w:r>
      <w:r>
        <w:t xml:space="preserve">low BMD → screws don't purchase, vertebral bodies fracture under cantilever load at the proximal construct 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Other PJF risk factors: </w:t>
      </w:r>
      <w:r>
        <w:t xml:space="preserve">UIV in thoracolumbar junction (T10–L2), over-correction of sagittal alignment, long constructs to pelvis.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Mitigations: </w:t>
      </w:r>
      <w:r>
        <w:t xml:space="preserve">prophylactic vertebroplasty at UIV, hooks vs. screws at top, adjusting construct endpoints.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Pipeline implication: </w:t>
      </w:r>
      <w:r>
        <w:t xml:space="preserve">flag low-HU vertebrae at planned construct endpoints via opportunistic CT-based BMD.</w:t>
      </w:r>
    </w:p>
    <w:p>
      <w:pPr>
        <w:pStyle w:val="Heading2"/>
      </w:pPr>
      <w:r>
        <w:t xml:space="preserve">3.3 New research direction: patient-specific biomechanical simulation with virtual hardware insertion</w:t>
      </w:r>
    </w:p>
    <w:p>
      <w:pPr>
        <w:spacing w:after="120"/>
      </w:pPr>
      <w:r>
        <w:t xml:space="preserve">A natural extension of the bone-quality work is a </w:t>
      </w:r>
      <w:r>
        <w:rPr>
          <w:b/>
          <w:bCs/>
        </w:rPr>
        <w:t xml:space="preserve">first-principles biomechanical simulation of the spine</w:t>
      </w:r>
      <w:r>
        <w:t xml:space="preserve"> built from a patient's actual preoperative CT, with vertebral mechanical properties derived from voxel-level HU (BMD proxy), and — critically — </w:t>
      </w:r>
      <w:r>
        <w:rPr>
          <w:b/>
          <w:bCs/>
        </w:rPr>
        <w:t xml:space="preserve">virtual insertion of the planned hardware so post-op biomechanics can be simulated and compared across candidate plans before the patient is ever cut.</w:t>
      </w:r>
    </w:p>
    <w:p>
      <w:pPr>
        <w:spacing w:after="120"/>
      </w:pPr>
      <w:r>
        <w:rPr>
          <w:b/>
          <w:bCs/>
        </w:rPr>
        <w:t xml:space="preserve">The full pipeline (end-to-end vision):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Segment</w:t>
      </w:r>
      <w:r>
        <w:t xml:space="preserve"> — automated whole-spine segmentation from preoperative CT (current work).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Characterize</w:t>
      </w:r>
      <w:r>
        <w:t xml:space="preserve"> — per-vertebra geometry + HU-derived bone quality at every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Simulate preoperatively</w:t>
      </w:r>
      <w:r>
        <w:t xml:space="preserve"> — patient-specific biomechanical model under physiologic loading; baseline failure-mode prediction.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Virtual hardware insertion</w:t>
      </w:r>
      <w:r>
        <w:t xml:space="preserve"> — surgeon (or optimizer) specifies a candidate construct: UIV/LIV, screw trajectories, hooks, augmentation, cage/rod choice. The pipeline inserts the hardware into the patient-specific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Simulate postoperatively</w:t>
      </w:r>
      <w:r>
        <w:t xml:space="preserve"> — re-run the biomechanics with the construct in place. Predict screw pullout risk, junctional stress at UIV/LIV, post-op sagittal alignment under physiologic loading, and PJF/DJF probability.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Compare candidate plans</w:t>
      </w:r>
      <w:r>
        <w:t xml:space="preserve"> — surgeon compares constructs by predicted mechanical failure risk rather than by rules of thumb. Optionally, optimize over construct configurations for minimum predicted failure probability.</w:t>
      </w:r>
    </w:p>
    <w:p>
      <w:pPr>
        <w:spacing w:after="120"/>
      </w:pPr>
      <w:r>
        <w:rPr>
          <w:b/>
          <w:bCs/>
        </w:rPr>
        <w:t xml:space="preserve">Why this matters: </w:t>
      </w:r>
      <w:r>
        <w:t xml:space="preserve">flagging low-HU vertebrae at construct endpoints (§3.2) is a heuristic stand-in for what this pipeline computes directly. The clinical decision the surgeon actually wants to make — "will this specific construct hold in this specific patient?" — is a biomechanics question, and current practice answers it with experience and rules of thumb rather than patient-specific physics.</w:t>
      </w:r>
    </w:p>
    <w:p>
      <w:pPr>
        <w:spacing w:after="120"/>
      </w:pPr>
      <w:r>
        <w:rPr>
          <w:b/>
          <w:bCs/>
        </w:rPr>
        <w:t xml:space="preserve">Why it's plausible now: </w:t>
      </w:r>
      <w:r>
        <w:t xml:space="preserve">the segmentation pipeline we're already building produces exactly the per-vertebra geometry and HU statistics a finite-element or multibody simulation needs as input. The historical bottleneck for patient-specific spine FEA has been geometry extraction — which is precisely what our pipeline delivers. Virtual hardware insertion is well-established in orthopedic FEA literature; the novel piece is closing the loop end-to-end and making it routine rather than bespoke per-case.</w:t>
      </w:r>
    </w:p>
    <w:p>
      <w:pPr>
        <w:spacing w:after="120"/>
      </w:pPr>
      <w:r>
        <w:rPr>
          <w:b/>
          <w:bCs/>
        </w:rPr>
        <w:t xml:space="preserve">Honest novelty framing: </w:t>
      </w:r>
      <w:r>
        <w:t xml:space="preserve">patient-specific spine FEA is an active research area (ETH Zürich, Mayo, and several orthopedic biomechanics labs). The novelty here is </w:t>
      </w:r>
      <w:r>
        <w:rPr>
          <w:b/>
          <w:bCs/>
        </w:rPr>
        <w:t xml:space="preserve">closing the loop between automated CT segmentation, per-vertebra bone quality, virtual hardware insertion, and post-op biomechanical prediction as a single planning pipeline</w:t>
      </w:r>
      <w:r>
        <w:t xml:space="preserve"> — not the simulation primitives themselves.</w:t>
      </w:r>
    </w:p>
    <w:p>
      <w:pPr>
        <w:spacing w:after="120"/>
      </w:pPr>
      <w:r>
        <w:rPr>
          <w:b/>
          <w:bCs/>
        </w:rPr>
        <w:t xml:space="preserve">Open questions: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FEA vs. multibody dynamics vs. hybrid — which fidelity is actually needed for surgical decision support? FEA gives stress fields but is computationally heavy; multibody is faster but coarser.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Validation strategy: retrospective cohort with known PJF outcomes to calibrate failure-probability predictions before any prospective use.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Hardware library: do we model a finite catalog of real implants (pedicle screws by manufacturer/size, rod stiffnesses, cages), or parameterize generically?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there an existing collaborator in biomedical engineering / orthopedic biomechanics already doing patient-specific spine FEA we could partner with rather than build from scratch?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Where does this fit funding-wise — R01 mechanism, industry partnership with an implant manufacturer, or device-focused (potential 510(k) pathway as planning software)?</w:t>
      </w:r>
    </w:p>
    <w:p>
      <w:pPr>
        <w:pStyle w:val="Heading2"/>
      </w:pPr>
      <w:r>
        <w:t xml:space="preserve">3.4 Other conference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Williams disease</w:t>
      </w:r>
      <w:r>
        <w:t xml:space="preserve"> mentioned as having spinal anomalies — verify exact entity and phenotype.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Approach vs. level-counting difficulty: </w:t>
      </w:r>
      <w:r>
        <w:t xml:space="preserve">posterior is easiest; lateral/transthoracic harder (especially for disc decompression); lateral avoids the dura.</w:t>
      </w:r>
    </w:p>
    <w:p>
      <w:pPr>
        <w:spacing w:after="120"/>
      </w:pPr>
      <w:r>
        <w:rPr>
          <w:i/>
          <w:iCs/>
        </w:rPr>
        <w:t xml:space="preserve">Implication: limited FOV and non-standard orientations are likely the hardest real-world inference cases.</w:t>
      </w:r>
    </w:p>
    <w:p>
      <w:pPr>
        <w:pStyle w:val="Heading2"/>
      </w:pPr>
      <w:r>
        <w:t xml:space="preserve">3.5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follow-up email to the wrong-site surgeon — frame as: "I'm building automated level-localization tools and your case is exactly the clinical scenario I'm trying to address. Could I get 20 minutes of your time to understand what would actually have helped, at what point in the workflow?" Goal is to extract concrete workflow requirements, not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One-page summary of PJF / bone-quality pipeline implication for future grant or aim-page material.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Scoping memo for the full biomechanical-simulation pipeline (§3.3): which simulation framework, what minimum viable demonstration looks like, what collaborators we'd need.</w:t>
      </w:r>
    </w:p>
    <w:p>
      <w:pPr>
        <w:pStyle w:val="Heading2"/>
      </w:pPr>
      <w:r>
        <w:t xml:space="preserve">3.6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was the specific failure mechanism in the wrong-site case (counting error, imaging artifact, anatomic anomaly, intraoperative localization)? This determines where in the pipeline a tool would actually intervene.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limited-FOV scans, what's the minimum anatomy the model needs to anchor counting (sacrum visible? at least one rib-bearing vertebra?)?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opportunistic HU-based BMD at construct endpoints something we can layer onto the existing segmentation pipeline as an output, or does it need a separate model?</w:t>
      </w:r>
    </w:p>
    <w:p>
      <w:pPr>
        <w:pBdr>
          <w:bottom w:val="single" w:color="888888" w:sz="6" w:space="4"/>
        </w:pBdr>
        <w:spacing w:after="240" w:before="120"/>
      </w:pPr>
    </w:p>
    <w:p>
      <w:pPr>
        <w:pStyle w:val="Heading1"/>
      </w:pPr>
      <w:r>
        <w:t xml:space="preserve">4. Action items (consolidated)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follow-up email to Möller (dataset terms + ITK-SNAP tutorial 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follow-up email to the wrong-site-case surgeon requesting a workflow consult.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on naming convention (Möller-compatible vs. sacrum-up vs. dual-head).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Scoping memo for the biomechanical-simulation pipeline + identify potential biomechanics collaborators.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"Williams disease" entity and spinal phenotype.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details on the wrong-site case ahead of the surgeon meeting.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2026-05-15T23:00:41.582Z</dcterms:created>
  <dcterms:modified xsi:type="dcterms:W3CDTF">2026-05-15T23:00:41.582Z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