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b/>
          <w:color w:val="000000"/>
          <w:sz w:val="26"/>
        </w:rPr>
        <w:t>CNS 2026, Abstract 418: the six-minute talk</w:t>
      </w:r>
    </w:p>
    <w:p>
      <w:pPr>
        <w:spacing w:after="40" w:before="0"/>
      </w:pPr>
      <w:r>
        <w:rPr>
          <w:b w:val="0"/>
          <w:color w:val="000000"/>
        </w:rPr>
        <w:t>SSTU02, Monday 2 November 2026, 7:00-7:06 AM, Room 147B. 12 slides in the talk, 7 backups after the end slide. No disclosure slide: the CNS ACCME guideline forbids one. 753 words: 5:34 at 140 words a minute with a one-second slide change. The notes hold only what is said.</w:t>
      </w:r>
    </w:p>
    <w:p>
      <w:pPr>
        <w:spacing w:after="20" w:before="60"/>
      </w:pPr>
      <w:r>
        <w:rPr>
          <w:b/>
          <w:color w:val="000000"/>
          <w:sz w:val="19"/>
        </w:rPr>
        <w:t>Running order and script</w:t>
      </w:r>
    </w:p>
    <w:tbl>
      <w:tblPr>
        <w:tblW w:type="auto" w:w="0"/>
        <w:jc w:val="center"/>
        <w:tblLayout w:type="fixed"/>
        <w:tblLook w:firstColumn="1" w:firstRow="1" w:lastColumn="0" w:lastRow="0" w:noHBand="0" w:noVBand="1" w:val="04A0"/>
      </w:tblPr>
      <w:tblGrid>
        <w:gridCol w:w="3504"/>
        <w:gridCol w:w="3504"/>
        <w:gridCol w:w="3504"/>
      </w:tblGrid>
      <w:tr>
        <w:tc>
          <w:tcPr>
            <w:tcW w:type="dxa" w:w="432"/>
            <w:tcBorders>
              <w:top w:val="single" w:sz="4" w:color="000000"/>
              <w:bottom w:val="single" w:sz="4" w:color="000000"/>
            </w:tcBorders>
          </w:tcPr>
          <w:p>
            <w:pPr>
              <w:spacing w:after="20" w:before="20"/>
            </w:pPr>
            <w:r/>
            <w:r>
              <w:rPr>
                <w:b/>
                <w:color w:val="000000"/>
                <w:sz w:val="15"/>
              </w:rPr>
              <w:t>#</w:t>
            </w:r>
          </w:p>
        </w:tc>
        <w:tc>
          <w:tcPr>
            <w:tcW w:type="dxa" w:w="490"/>
            <w:tcBorders>
              <w:top w:val="single" w:sz="4" w:color="000000"/>
              <w:bottom w:val="single" w:sz="4" w:color="000000"/>
            </w:tcBorders>
          </w:tcPr>
          <w:p>
            <w:pPr>
              <w:spacing w:after="20" w:before="20"/>
            </w:pPr>
            <w:r/>
            <w:r>
              <w:rPr>
                <w:b/>
                <w:color w:val="000000"/>
                <w:sz w:val="15"/>
              </w:rPr>
              <w:t>sec</w:t>
            </w:r>
          </w:p>
        </w:tc>
        <w:tc>
          <w:tcPr>
            <w:tcW w:type="dxa" w:w="9590"/>
            <w:tcBorders>
              <w:top w:val="single" w:sz="4" w:color="000000"/>
              <w:bottom w:val="single" w:sz="4" w:color="000000"/>
            </w:tcBorders>
          </w:tcPr>
          <w:p>
            <w:pPr>
              <w:spacing w:after="20" w:before="20"/>
            </w:pPr>
            <w:r/>
            <w:r>
              <w:rPr>
                <w:b/>
                <w:color w:val="000000"/>
                <w:sz w:val="15"/>
              </w:rPr>
              <w:t>Slide, and what to say</w:t>
            </w:r>
          </w:p>
        </w:tc>
      </w:tr>
      <w:tr>
        <w:tc>
          <w:tcPr>
            <w:tcW w:type="dxa" w:w="432"/>
            <w:tcBorders>
              <w:top w:val="single" w:sz="4" w:color="000000"/>
              <w:bottom w:val="single" w:sz="4" w:color="000000"/>
            </w:tcBorders>
          </w:tcPr>
          <w:p>
            <w:pPr>
              <w:spacing w:after="20" w:before="20"/>
            </w:pPr>
            <w:r/>
            <w:r>
              <w:rPr>
                <w:b w:val="0"/>
                <w:color w:val="000000"/>
                <w:sz w:val="15"/>
              </w:rPr>
              <w:t>1</w:t>
            </w:r>
          </w:p>
        </w:tc>
        <w:tc>
          <w:tcPr>
            <w:tcW w:type="dxa" w:w="490"/>
            <w:tcBorders>
              <w:top w:val="single" w:sz="4" w:color="000000"/>
              <w:bottom w:val="single" w:sz="4" w:color="000000"/>
            </w:tcBorders>
          </w:tcPr>
          <w:p>
            <w:pPr>
              <w:spacing w:after="20" w:before="20"/>
            </w:pPr>
            <w:r/>
            <w:r>
              <w:rPr>
                <w:b w:val="0"/>
                <w:color w:val="000000"/>
                <w:sz w:val="15"/>
              </w:rPr>
              <w:t>11</w:t>
            </w:r>
          </w:p>
        </w:tc>
        <w:tc>
          <w:tcPr>
            <w:tcW w:type="dxa" w:w="9590"/>
            <w:tcBorders>
              <w:top w:val="single" w:sz="4" w:color="000000"/>
              <w:bottom w:val="single" w:sz="4" w:color="000000"/>
            </w:tcBorders>
          </w:tcPr>
          <w:p>
            <w:pPr>
              <w:spacing w:after="0" w:before="0"/>
            </w:pPr>
            <w:r/>
            <w:r>
              <w:rPr>
                <w:b/>
                <w:color w:val="000000"/>
                <w:sz w:val="15"/>
              </w:rPr>
              <w:t xml:space="preserve">Title. </w:t>
            </w:r>
            <w:r>
              <w:rPr>
                <w:color w:val="000000"/>
                <w:sz w:val="15"/>
              </w:rPr>
              <w:t>Good morning. I'm Greg Schwing, from Wayne State and the Detroit Medical Center. I have no disclosures. Dr. Lee consults for Medtronic and Monteris.</w:t>
            </w:r>
          </w:p>
        </w:tc>
      </w:tr>
      <w:tr>
        <w:tc>
          <w:tcPr>
            <w:tcW w:type="dxa" w:w="432"/>
            <w:tcBorders>
              <w:top w:val="single" w:sz="4" w:color="000000"/>
              <w:bottom w:val="single" w:sz="4" w:color="000000"/>
            </w:tcBorders>
          </w:tcPr>
          <w:p>
            <w:pPr>
              <w:spacing w:after="20" w:before="20"/>
            </w:pPr>
            <w:r/>
            <w:r>
              <w:rPr>
                <w:b w:val="0"/>
                <w:color w:val="000000"/>
                <w:sz w:val="15"/>
              </w:rPr>
              <w:t>2</w:t>
            </w:r>
          </w:p>
        </w:tc>
        <w:tc>
          <w:tcPr>
            <w:tcW w:type="dxa" w:w="490"/>
            <w:tcBorders>
              <w:top w:val="single" w:sz="4" w:color="000000"/>
              <w:bottom w:val="single" w:sz="4" w:color="000000"/>
            </w:tcBorders>
          </w:tcPr>
          <w:p>
            <w:pPr>
              <w:spacing w:after="20" w:before="20"/>
            </w:pPr>
            <w:r/>
            <w:r>
              <w:rPr>
                <w:b w:val="0"/>
                <w:color w:val="000000"/>
                <w:sz w:val="15"/>
              </w:rPr>
              <w:t>24</w:t>
            </w:r>
          </w:p>
        </w:tc>
        <w:tc>
          <w:tcPr>
            <w:tcW w:type="dxa" w:w="9590"/>
            <w:tcBorders>
              <w:top w:val="single" w:sz="4" w:color="000000"/>
              <w:bottom w:val="single" w:sz="4" w:color="000000"/>
            </w:tcBorders>
          </w:tcPr>
          <w:p>
            <w:pPr>
              <w:spacing w:after="0" w:before="0"/>
            </w:pPr>
            <w:r/>
            <w:r>
              <w:rPr>
                <w:b/>
                <w:color w:val="000000"/>
                <w:sz w:val="15"/>
              </w:rPr>
              <w:t xml:space="preserve">LITT kills the core. What grows back? </w:t>
            </w:r>
            <w:r>
              <w:rPr>
                <w:color w:val="000000"/>
                <w:sz w:val="15"/>
              </w:rPr>
              <w:t>This is diffusion MRI during LITT in this rat model. We kill the core. Cells in the margin are thought to survive, and tumor comes back. We then sample tumor and brain mixed together. So, two questions. What is a regrowing lesion made of? And can we measure tumor away from the implant?</w:t>
            </w:r>
          </w:p>
        </w:tc>
      </w:tr>
      <w:tr>
        <w:tc>
          <w:tcPr>
            <w:tcW w:type="dxa" w:w="432"/>
            <w:tcBorders>
              <w:top w:val="single" w:sz="4" w:color="000000"/>
              <w:bottom w:val="single" w:sz="4" w:color="000000"/>
            </w:tcBorders>
          </w:tcPr>
          <w:p>
            <w:pPr>
              <w:spacing w:after="20" w:before="20"/>
            </w:pPr>
            <w:r/>
            <w:r>
              <w:rPr>
                <w:b w:val="0"/>
                <w:color w:val="000000"/>
                <w:sz w:val="15"/>
              </w:rPr>
              <w:t>3</w:t>
            </w:r>
          </w:p>
        </w:tc>
        <w:tc>
          <w:tcPr>
            <w:tcW w:type="dxa" w:w="490"/>
            <w:tcBorders>
              <w:top w:val="single" w:sz="4" w:color="000000"/>
              <w:bottom w:val="single" w:sz="4" w:color="000000"/>
            </w:tcBorders>
          </w:tcPr>
          <w:p>
            <w:pPr>
              <w:spacing w:after="20" w:before="20"/>
            </w:pPr>
            <w:r/>
            <w:r>
              <w:rPr>
                <w:b w:val="0"/>
                <w:color w:val="000000"/>
                <w:sz w:val="15"/>
              </w:rPr>
              <w:t>23</w:t>
            </w:r>
          </w:p>
        </w:tc>
        <w:tc>
          <w:tcPr>
            <w:tcW w:type="dxa" w:w="9590"/>
            <w:tcBorders>
              <w:top w:val="single" w:sz="4" w:color="000000"/>
              <w:bottom w:val="single" w:sz="4" w:color="000000"/>
            </w:tcBorders>
          </w:tcPr>
          <w:p>
            <w:pPr>
              <w:spacing w:after="0" w:before="0"/>
            </w:pPr>
            <w:r/>
            <w:r>
              <w:rPr>
                <w:b/>
                <w:color w:val="000000"/>
                <w:sz w:val="15"/>
              </w:rPr>
              <w:t xml:space="preserve">A human tumor in a rat: every read sorted by species. </w:t>
            </w:r>
            <w:r>
              <w:rPr>
                <w:color w:val="000000"/>
                <w:sz w:val="15"/>
              </w:rPr>
              <w:t>Here's the design. Human U251N cells in a rat brain. Three tumors stayed untreated. Three regrew after LITT. In two rats we also took the opposite side. The tumor is human and the brain is rat, so we can sort every read by species. You can't do that in a patient.</w:t>
            </w:r>
          </w:p>
        </w:tc>
      </w:tr>
      <w:tr>
        <w:tc>
          <w:tcPr>
            <w:tcW w:type="dxa" w:w="432"/>
            <w:tcBorders>
              <w:top w:val="single" w:sz="4" w:color="000000"/>
              <w:bottom w:val="single" w:sz="4" w:color="000000"/>
            </w:tcBorders>
          </w:tcPr>
          <w:p>
            <w:pPr>
              <w:spacing w:after="20" w:before="20"/>
            </w:pPr>
            <w:r/>
            <w:r>
              <w:rPr>
                <w:b w:val="0"/>
                <w:color w:val="000000"/>
                <w:sz w:val="15"/>
              </w:rPr>
              <w:t>4</w:t>
            </w:r>
          </w:p>
        </w:tc>
        <w:tc>
          <w:tcPr>
            <w:tcW w:type="dxa" w:w="490"/>
            <w:tcBorders>
              <w:top w:val="single" w:sz="4" w:color="000000"/>
              <w:bottom w:val="single" w:sz="4" w:color="000000"/>
            </w:tcBorders>
          </w:tcPr>
          <w:p>
            <w:pPr>
              <w:spacing w:after="20" w:before="20"/>
            </w:pPr>
            <w:r/>
            <w:r>
              <w:rPr>
                <w:b w:val="0"/>
                <w:color w:val="000000"/>
                <w:sz w:val="15"/>
              </w:rPr>
              <w:t>25</w:t>
            </w:r>
          </w:p>
        </w:tc>
        <w:tc>
          <w:tcPr>
            <w:tcW w:type="dxa" w:w="9590"/>
            <w:tcBorders>
              <w:top w:val="single" w:sz="4" w:color="000000"/>
              <w:bottom w:val="single" w:sz="4" w:color="000000"/>
            </w:tcBorders>
          </w:tcPr>
          <w:p>
            <w:pPr>
              <w:spacing w:after="0" w:before="0"/>
            </w:pPr>
            <w:r/>
            <w:r>
              <w:rPr>
                <w:b/>
                <w:color w:val="000000"/>
                <w:sz w:val="15"/>
              </w:rPr>
              <w:t xml:space="preserve">Regrowing lesions hold less tumor. </w:t>
            </w:r>
            <w:r>
              <w:rPr>
                <w:color w:val="000000"/>
                <w:sz w:val="15"/>
              </w:rPr>
              <w:t>Each bar is one tumor. The height is how much of the sample is human, so how much is tumor. Orange regrew after LITT, and orange runs lower: 29 to 43 percent, against 43 to 64. The methylation array gives the same order. With six animals, p can't go below 0.05, and DNA sits at that floor.</w:t>
            </w:r>
          </w:p>
        </w:tc>
      </w:tr>
      <w:tr>
        <w:tc>
          <w:tcPr>
            <w:tcW w:type="dxa" w:w="432"/>
            <w:tcBorders>
              <w:top w:val="single" w:sz="4" w:color="000000"/>
              <w:bottom w:val="single" w:sz="4" w:color="000000"/>
            </w:tcBorders>
          </w:tcPr>
          <w:p>
            <w:pPr>
              <w:spacing w:after="20" w:before="20"/>
            </w:pPr>
            <w:r/>
            <w:r>
              <w:rPr>
                <w:b w:val="0"/>
                <w:color w:val="000000"/>
                <w:sz w:val="15"/>
              </w:rPr>
              <w:t>5</w:t>
            </w:r>
          </w:p>
        </w:tc>
        <w:tc>
          <w:tcPr>
            <w:tcW w:type="dxa" w:w="490"/>
            <w:tcBorders>
              <w:top w:val="single" w:sz="4" w:color="000000"/>
              <w:bottom w:val="single" w:sz="4" w:color="000000"/>
            </w:tcBorders>
          </w:tcPr>
          <w:p>
            <w:pPr>
              <w:spacing w:after="20" w:before="20"/>
            </w:pPr>
            <w:r/>
            <w:r>
              <w:rPr>
                <w:b w:val="0"/>
                <w:color w:val="000000"/>
                <w:sz w:val="15"/>
              </w:rPr>
              <w:t>31</w:t>
            </w:r>
          </w:p>
        </w:tc>
        <w:tc>
          <w:tcPr>
            <w:tcW w:type="dxa" w:w="9590"/>
            <w:tcBorders>
              <w:top w:val="single" w:sz="4" w:color="000000"/>
              <w:bottom w:val="single" w:sz="4" w:color="000000"/>
            </w:tcBorders>
          </w:tcPr>
          <w:p>
            <w:pPr>
              <w:spacing w:after="0" w:before="0"/>
            </w:pPr>
            <w:r/>
            <w:r>
              <w:rPr>
                <w:b/>
                <w:color w:val="000000"/>
                <w:sz w:val="15"/>
              </w:rPr>
              <w:t xml:space="preserve">Less tumor explains under half of the change. </w:t>
            </w:r>
            <w:r>
              <w:rPr>
                <w:color w:val="000000"/>
                <w:sz w:val="15"/>
              </w:rPr>
              <w:t>So is the whole signal just less tumor? Here we can answer exactly. The ring is the change a bulk assay sees, split into three parts. Gray is the tissue mix: 0.47. It's the biggest piece, but we said in advance it had to pass one half, that red mark, and it didn't. The rest is host and tumor cells changing. The mesenchymal score, for one, falls in the tumor cells.</w:t>
            </w:r>
          </w:p>
        </w:tc>
      </w:tr>
      <w:tr>
        <w:tc>
          <w:tcPr>
            <w:tcW w:type="dxa" w:w="432"/>
            <w:tcBorders>
              <w:top w:val="single" w:sz="4" w:color="000000"/>
              <w:bottom w:val="single" w:sz="4" w:color="000000"/>
            </w:tcBorders>
          </w:tcPr>
          <w:p>
            <w:pPr>
              <w:spacing w:after="20" w:before="20"/>
            </w:pPr>
            <w:r/>
            <w:r>
              <w:rPr>
                <w:b w:val="0"/>
                <w:color w:val="000000"/>
                <w:sz w:val="15"/>
              </w:rPr>
              <w:t>6</w:t>
            </w:r>
          </w:p>
        </w:tc>
        <w:tc>
          <w:tcPr>
            <w:tcW w:type="dxa" w:w="490"/>
            <w:tcBorders>
              <w:top w:val="single" w:sz="4" w:color="000000"/>
              <w:bottom w:val="single" w:sz="4" w:color="000000"/>
            </w:tcBorders>
          </w:tcPr>
          <w:p>
            <w:pPr>
              <w:spacing w:after="20" w:before="20"/>
            </w:pPr>
            <w:r/>
            <w:r>
              <w:rPr>
                <w:b w:val="0"/>
                <w:color w:val="000000"/>
                <w:sz w:val="15"/>
              </w:rPr>
              <w:t>35</w:t>
            </w:r>
          </w:p>
        </w:tc>
        <w:tc>
          <w:tcPr>
            <w:tcW w:type="dxa" w:w="9590"/>
            <w:tcBorders>
              <w:top w:val="single" w:sz="4" w:color="000000"/>
              <w:bottom w:val="single" w:sz="4" w:color="000000"/>
            </w:tcBorders>
          </w:tcPr>
          <w:p>
            <w:pPr>
              <w:spacing w:after="0" w:before="0"/>
            </w:pPr>
            <w:r/>
            <w:r>
              <w:rPr>
                <w:b/>
                <w:color w:val="000000"/>
                <w:sz w:val="15"/>
              </w:rPr>
              <w:t xml:space="preserve">In the tumor cells, ribosomal-protein genes fall. </w:t>
            </w:r>
            <w:r>
              <w:rPr>
                <w:color w:val="000000"/>
                <w:sz w:val="15"/>
              </w:rPr>
              <w:t>These are the tumor cells alone. Each column is a tumor, each row a ribosomal-protein gene. Red is higher, blue is lower. The regrown tumors are blue. These genes fall. Now the cautions. The dark red column is rat 68. That one tumor, IL68B, sets the size: without it, 0.40 shrinks to 0.11 log2. The false discovery rate is seed-dependent, 0.02 to 0.31. And the translational shutdown in your abstract book was a first-pass test. We haven't measured translation.</w:t>
            </w:r>
          </w:p>
        </w:tc>
      </w:tr>
      <w:tr>
        <w:tc>
          <w:tcPr>
            <w:tcW w:type="dxa" w:w="432"/>
            <w:tcBorders>
              <w:top w:val="single" w:sz="4" w:color="000000"/>
              <w:bottom w:val="single" w:sz="4" w:color="000000"/>
            </w:tcBorders>
          </w:tcPr>
          <w:p>
            <w:pPr>
              <w:spacing w:after="20" w:before="20"/>
            </w:pPr>
            <w:r/>
            <w:r>
              <w:rPr>
                <w:b w:val="0"/>
                <w:color w:val="000000"/>
                <w:sz w:val="15"/>
              </w:rPr>
              <w:t>7</w:t>
            </w:r>
          </w:p>
        </w:tc>
        <w:tc>
          <w:tcPr>
            <w:tcW w:type="dxa" w:w="490"/>
            <w:tcBorders>
              <w:top w:val="single" w:sz="4" w:color="000000"/>
              <w:bottom w:val="single" w:sz="4" w:color="000000"/>
            </w:tcBorders>
          </w:tcPr>
          <w:p>
            <w:pPr>
              <w:spacing w:after="20" w:before="20"/>
            </w:pPr>
            <w:r/>
            <w:r>
              <w:rPr>
                <w:b w:val="0"/>
                <w:color w:val="000000"/>
                <w:sz w:val="15"/>
              </w:rPr>
              <w:t>21</w:t>
            </w:r>
          </w:p>
        </w:tc>
        <w:tc>
          <w:tcPr>
            <w:tcW w:type="dxa" w:w="9590"/>
            <w:tcBorders>
              <w:top w:val="single" w:sz="4" w:color="000000"/>
              <w:bottom w:val="single" w:sz="4" w:color="000000"/>
            </w:tcBorders>
          </w:tcPr>
          <w:p>
            <w:pPr>
              <w:spacing w:after="0" w:before="0"/>
            </w:pPr>
            <w:r/>
            <w:r>
              <w:rPr>
                <w:b/>
                <w:color w:val="000000"/>
                <w:sz w:val="15"/>
              </w:rPr>
              <w:t xml:space="preserve">One invasion program stays up after adjustment. </w:t>
            </w:r>
            <w:r>
              <w:rPr>
                <w:color w:val="000000"/>
                <w:sz w:val="15"/>
              </w:rPr>
              <w:t>Now infiltration. Each dot is a tumor. Up is a published distal-invasion score. Orange sits above blue. Adjusted for tumor content, it's first of twenty labellings. That's p of 0.05, the floor here. These animals were also harvested later. So it's a hypothesis, not a finding.</w:t>
            </w:r>
          </w:p>
        </w:tc>
      </w:tr>
      <w:tr>
        <w:tc>
          <w:tcPr>
            <w:tcW w:type="dxa" w:w="432"/>
            <w:tcBorders>
              <w:top w:val="single" w:sz="4" w:color="000000"/>
              <w:bottom w:val="single" w:sz="4" w:color="000000"/>
            </w:tcBorders>
          </w:tcPr>
          <w:p>
            <w:pPr>
              <w:spacing w:after="20" w:before="20"/>
            </w:pPr>
            <w:r/>
            <w:r>
              <w:rPr>
                <w:b w:val="0"/>
                <w:color w:val="000000"/>
                <w:sz w:val="15"/>
              </w:rPr>
              <w:t>8</w:t>
            </w:r>
          </w:p>
        </w:tc>
        <w:tc>
          <w:tcPr>
            <w:tcW w:type="dxa" w:w="490"/>
            <w:tcBorders>
              <w:top w:val="single" w:sz="4" w:color="000000"/>
              <w:bottom w:val="single" w:sz="4" w:color="000000"/>
            </w:tcBorders>
          </w:tcPr>
          <w:p>
            <w:pPr>
              <w:spacing w:after="20" w:before="20"/>
            </w:pPr>
            <w:r/>
            <w:r>
              <w:rPr>
                <w:b w:val="0"/>
                <w:color w:val="000000"/>
                <w:sz w:val="15"/>
              </w:rPr>
              <w:t>32</w:t>
            </w:r>
          </w:p>
        </w:tc>
        <w:tc>
          <w:tcPr>
            <w:tcW w:type="dxa" w:w="9590"/>
            <w:tcBorders>
              <w:top w:val="single" w:sz="4" w:color="000000"/>
              <w:bottom w:val="single" w:sz="4" w:color="000000"/>
            </w:tcBorders>
          </w:tcPr>
          <w:p>
            <w:pPr>
              <w:spacing w:after="0" w:before="0"/>
            </w:pPr>
            <w:r/>
            <w:r>
              <w:rPr>
                <w:b/>
                <w:color w:val="000000"/>
                <w:sz w:val="15"/>
              </w:rPr>
              <w:t xml:space="preserve">U251N material in the opposite hemisphere. </w:t>
            </w:r>
            <w:r>
              <w:rPr>
                <w:color w:val="000000"/>
                <w:sz w:val="15"/>
              </w:rPr>
              <w:t>This one surprised us. Rat 69 was never ablated. Each line is copy number along the genome. Blue is its tumor. Green is its opposite hemisphere. They rise and fall together. That's the cell line's fingerprint. That piece read 4.9 percent human, with the donor genotype at 56 of 59 probes and a male Y in a female rat. Rat 68 read 0.55. One animal, never ablated, so nothing here speaks to LITT.</w:t>
            </w:r>
          </w:p>
        </w:tc>
      </w:tr>
      <w:tr>
        <w:tc>
          <w:tcPr>
            <w:tcW w:type="dxa" w:w="432"/>
            <w:tcBorders>
              <w:top w:val="single" w:sz="4" w:color="000000"/>
              <w:bottom w:val="single" w:sz="4" w:color="000000"/>
            </w:tcBorders>
          </w:tcPr>
          <w:p>
            <w:pPr>
              <w:spacing w:after="20" w:before="20"/>
            </w:pPr>
            <w:r/>
            <w:r>
              <w:rPr>
                <w:b w:val="0"/>
                <w:color w:val="000000"/>
                <w:sz w:val="15"/>
              </w:rPr>
              <w:t>9</w:t>
            </w:r>
          </w:p>
        </w:tc>
        <w:tc>
          <w:tcPr>
            <w:tcW w:type="dxa" w:w="490"/>
            <w:tcBorders>
              <w:top w:val="single" w:sz="4" w:color="000000"/>
              <w:bottom w:val="single" w:sz="4" w:color="000000"/>
            </w:tcBorders>
          </w:tcPr>
          <w:p>
            <w:pPr>
              <w:spacing w:after="20" w:before="20"/>
            </w:pPr>
            <w:r/>
            <w:r>
              <w:rPr>
                <w:b w:val="0"/>
                <w:color w:val="000000"/>
                <w:sz w:val="15"/>
              </w:rPr>
              <w:t>34</w:t>
            </w:r>
          </w:p>
        </w:tc>
        <w:tc>
          <w:tcPr>
            <w:tcW w:type="dxa" w:w="9590"/>
            <w:tcBorders>
              <w:top w:val="single" w:sz="4" w:color="000000"/>
              <w:bottom w:val="single" w:sz="4" w:color="000000"/>
            </w:tcBorders>
          </w:tcPr>
          <w:p>
            <w:pPr>
              <w:spacing w:after="0" w:before="0"/>
            </w:pPr>
            <w:r/>
            <w:r>
              <w:rPr>
                <w:b/>
                <w:color w:val="000000"/>
                <w:sz w:val="15"/>
              </w:rPr>
              <w:t xml:space="preserve">Others have tracked glioblastoma across the midline. </w:t>
            </w:r>
            <w:r>
              <w:rPr>
                <w:color w:val="000000"/>
                <w:sz w:val="15"/>
              </w:rPr>
              <w:t>We aren't the first to look. These are mouse brains from a 2026 paper. Green is human tumor. The first three crossed the midline, the next one less, the last one didn't. Four of twenty patient-derived models reached the far side, by single-cell sequencing. In a patient, a second glioblastoma in the opposite hemisphere shared the first tumor's genetic changes. For U251N, we found no sequence-based report. None of this tells us what happened in rat 69.</w:t>
            </w:r>
          </w:p>
        </w:tc>
      </w:tr>
      <w:tr>
        <w:tc>
          <w:tcPr>
            <w:tcW w:type="dxa" w:w="432"/>
            <w:tcBorders>
              <w:top w:val="single" w:sz="4" w:color="000000"/>
              <w:bottom w:val="single" w:sz="4" w:color="000000"/>
            </w:tcBorders>
          </w:tcPr>
          <w:p>
            <w:pPr>
              <w:spacing w:after="20" w:before="20"/>
            </w:pPr>
            <w:r/>
            <w:r>
              <w:rPr>
                <w:b w:val="0"/>
                <w:color w:val="000000"/>
                <w:sz w:val="15"/>
              </w:rPr>
              <w:t>10</w:t>
            </w:r>
          </w:p>
        </w:tc>
        <w:tc>
          <w:tcPr>
            <w:tcW w:type="dxa" w:w="490"/>
            <w:tcBorders>
              <w:top w:val="single" w:sz="4" w:color="000000"/>
              <w:bottom w:val="single" w:sz="4" w:color="000000"/>
            </w:tcBorders>
          </w:tcPr>
          <w:p>
            <w:pPr>
              <w:spacing w:after="20" w:before="20"/>
            </w:pPr>
            <w:r/>
            <w:r>
              <w:rPr>
                <w:b w:val="0"/>
                <w:color w:val="000000"/>
                <w:sz w:val="15"/>
              </w:rPr>
              <w:t>48</w:t>
            </w:r>
          </w:p>
        </w:tc>
        <w:tc>
          <w:tcPr>
            <w:tcW w:type="dxa" w:w="9590"/>
            <w:tcBorders>
              <w:top w:val="single" w:sz="4" w:color="000000"/>
              <w:bottom w:val="single" w:sz="4" w:color="000000"/>
            </w:tcBorders>
          </w:tcPr>
          <w:p>
            <w:pPr>
              <w:spacing w:after="0" w:before="0"/>
            </w:pPr>
            <w:r/>
            <w:r>
              <w:rPr>
                <w:b/>
                <w:color w:val="000000"/>
                <w:sz w:val="15"/>
              </w:rPr>
              <w:t xml:space="preserve">Two readings this design cannot separate. </w:t>
            </w:r>
            <w:r>
              <w:rPr>
                <w:color w:val="000000"/>
                <w:sz w:val="15"/>
              </w:rPr>
              <w:t>So there are two readings. On the left, U251N cells reached the far side in life. On the right, core tissue was carried across on the blade when the frozen slice was cut. This design can't separate them, and I won't rank them. What doesn't depend on that is the measurement: tumor material at a remote site, by two platforms that don't share a failure mode, at a level routine histology of such a piece would miss. If it was carried, then one pass of an instrument moved tumor. Whether an instrument deposits tumor where it goes next, and how much, is what this kind of measurement can answer.</w:t>
            </w:r>
          </w:p>
        </w:tc>
      </w:tr>
      <w:tr>
        <w:tc>
          <w:tcPr>
            <w:tcW w:type="dxa" w:w="432"/>
            <w:tcBorders>
              <w:top w:val="single" w:sz="4" w:color="000000"/>
              <w:bottom w:val="single" w:sz="4" w:color="000000"/>
            </w:tcBorders>
          </w:tcPr>
          <w:p>
            <w:pPr>
              <w:spacing w:after="20" w:before="20"/>
            </w:pPr>
            <w:r/>
            <w:r>
              <w:rPr>
                <w:b w:val="0"/>
                <w:color w:val="000000"/>
                <w:sz w:val="15"/>
              </w:rPr>
              <w:t>11</w:t>
            </w:r>
          </w:p>
        </w:tc>
        <w:tc>
          <w:tcPr>
            <w:tcW w:type="dxa" w:w="490"/>
            <w:tcBorders>
              <w:top w:val="single" w:sz="4" w:color="000000"/>
              <w:bottom w:val="single" w:sz="4" w:color="000000"/>
            </w:tcBorders>
          </w:tcPr>
          <w:p>
            <w:pPr>
              <w:spacing w:after="20" w:before="20"/>
            </w:pPr>
            <w:r/>
            <w:r>
              <w:rPr>
                <w:b w:val="0"/>
                <w:color w:val="000000"/>
                <w:sz w:val="15"/>
              </w:rPr>
              <w:t>27</w:t>
            </w:r>
          </w:p>
        </w:tc>
        <w:tc>
          <w:tcPr>
            <w:tcW w:type="dxa" w:w="9590"/>
            <w:tcBorders>
              <w:top w:val="single" w:sz="4" w:color="000000"/>
              <w:bottom w:val="single" w:sz="4" w:color="000000"/>
            </w:tcBorders>
          </w:tcPr>
          <w:p>
            <w:pPr>
              <w:spacing w:after="0" w:before="0"/>
            </w:pPr>
            <w:r/>
            <w:r>
              <w:rPr>
                <w:b/>
                <w:color w:val="000000"/>
                <w:sz w:val="15"/>
              </w:rPr>
              <w:t xml:space="preserve">What settles it, sized in advance. </w:t>
            </w:r>
            <w:r>
              <w:rPr>
                <w:color w:val="000000"/>
                <w:sz w:val="15"/>
              </w:rPr>
              <w:t>So what settles it? The curve is power against rats per arm. 44 to 58 rats per arm tests whether LITT changes how often remote tumor is found. 29 tumor-free pieces, cut right after a tumor-bearing one, cap the false-positive rate at ten percent. 9 to 16 barcoded animals ask the clone question. The whole design is 141 to 199 rats.</w:t>
            </w:r>
          </w:p>
        </w:tc>
      </w:tr>
      <w:tr>
        <w:tc>
          <w:tcPr>
            <w:tcW w:type="dxa" w:w="432"/>
            <w:tcBorders>
              <w:top w:val="single" w:sz="4" w:color="000000"/>
              <w:bottom w:val="single" w:sz="4" w:color="000000"/>
            </w:tcBorders>
          </w:tcPr>
          <w:p>
            <w:pPr>
              <w:spacing w:after="20" w:before="20"/>
            </w:pPr>
            <w:r/>
            <w:r>
              <w:rPr>
                <w:b w:val="0"/>
                <w:color w:val="000000"/>
                <w:sz w:val="15"/>
              </w:rPr>
              <w:t>12</w:t>
            </w:r>
          </w:p>
        </w:tc>
        <w:tc>
          <w:tcPr>
            <w:tcW w:type="dxa" w:w="490"/>
            <w:tcBorders>
              <w:top w:val="single" w:sz="4" w:color="000000"/>
              <w:bottom w:val="single" w:sz="4" w:color="000000"/>
            </w:tcBorders>
          </w:tcPr>
          <w:p>
            <w:pPr>
              <w:spacing w:after="20" w:before="20"/>
            </w:pPr>
            <w:r/>
            <w:r>
              <w:rPr>
                <w:b w:val="0"/>
                <w:color w:val="000000"/>
                <w:sz w:val="15"/>
              </w:rPr>
              <w:t>23</w:t>
            </w:r>
          </w:p>
        </w:tc>
        <w:tc>
          <w:tcPr>
            <w:tcW w:type="dxa" w:w="9590"/>
            <w:tcBorders>
              <w:top w:val="single" w:sz="4" w:color="000000"/>
              <w:bottom w:val="single" w:sz="4" w:color="000000"/>
            </w:tcBorders>
          </w:tcPr>
          <w:p>
            <w:pPr>
              <w:spacing w:after="0" w:before="0"/>
            </w:pPr>
            <w:r/>
            <w:r>
              <w:rPr>
                <w:b/>
                <w:color w:val="000000"/>
                <w:sz w:val="15"/>
              </w:rPr>
              <w:t xml:space="preserve">What this means. </w:t>
            </w:r>
            <w:r>
              <w:rPr>
                <w:color w:val="000000"/>
                <w:sz w:val="15"/>
              </w:rPr>
              <w:t>To close. Regrowing lesions hold less tumor, and that explains under half of the signal. The tumor-cell changes are hypotheses, from three tumors per arm in one cell line. And tumor material can be measured at a site remote from the implant. How it got there is the next experiment. Thank you.</w:t>
            </w:r>
          </w:p>
        </w:tc>
      </w:tr>
    </w:tbl>
    <w:p>
      <w:pPr>
        <w:spacing w:after="20" w:before="60"/>
      </w:pPr>
      <w:r>
        <w:rPr>
          <w:b w:val="0"/>
          <w:color w:val="000000"/>
          <w:sz w:val="16"/>
        </w:rPr>
        <w:t>If long, cut in order: the p-value sentence on slide 4 (6 s); the patient sentence on slide 9 (7 s); the last sentence on slide 11 (3 s). Never cut slide 8 or 10.</w:t>
      </w:r>
    </w:p>
    <w:p>
      <w:pPr>
        <w:spacing w:after="20" w:before="60"/>
      </w:pPr>
      <w:r>
        <w:rPr>
          <w:b/>
          <w:color w:val="000000"/>
          <w:sz w:val="19"/>
        </w:rPr>
        <w:t>If asked</w:t>
      </w:r>
    </w:p>
    <w:p>
      <w:pPr>
        <w:pStyle w:val="ListBullet"/>
        <w:spacing w:after="0"/>
        <w:ind w:left="245" w:hanging="245"/>
      </w:pPr>
      <w:r>
        <w:rPr>
          <w:b/>
          <w:color w:val="000000"/>
        </w:rPr>
        <w:t xml:space="preserve">Slide 1. </w:t>
      </w:r>
      <w:r>
        <w:rPr>
          <w:color w:val="000000"/>
        </w:rPr>
        <w:t>Full disclosure wording: I.Y.L. has consulting agreements with Medtronic, Inc. and Monteris Medical, Inc.; all other authors declare no conflicts. Henry Ford Health Physician Scientist Award A20050 (I.Y.L.). No commercial support.</w:t>
      </w:r>
    </w:p>
    <w:p>
      <w:pPr>
        <w:pStyle w:val="ListBullet"/>
        <w:spacing w:after="0"/>
        <w:ind w:left="245" w:hanging="245"/>
      </w:pPr>
      <w:r>
        <w:rPr>
          <w:b/>
          <w:color w:val="000000"/>
        </w:rPr>
        <w:t xml:space="preserve">Slide 2. </w:t>
      </w:r>
      <w:r>
        <w:rPr>
          <w:color w:val="000000"/>
        </w:rPr>
        <w:t>The video is rat IL36 from Nagaraja 2021, not one of rats 64 to 71.</w:t>
      </w:r>
    </w:p>
    <w:p>
      <w:pPr>
        <w:pStyle w:val="ListBullet"/>
        <w:spacing w:after="0"/>
        <w:ind w:left="245" w:hanging="245"/>
      </w:pPr>
      <w:r>
        <w:rPr>
          <w:b/>
          <w:color w:val="000000"/>
        </w:rPr>
        <w:t xml:space="preserve">Slide 3. </w:t>
      </w:r>
      <w:r>
        <w:rPr>
          <w:color w:val="000000"/>
        </w:rPr>
        <w:t>Why 3 v 3 when Nagaraja 2026 reports 4 v 4: rat 64's sample held no tumor and rat 65 has no library. Harvest: primaries two to four weeks, recurrences about two weeks after ablation; group-level only, so the difference between arms is an unmeasured confound. Names: NL70B = IL70B, NL71B = IL71B, N269B = N2.</w:t>
      </w:r>
    </w:p>
    <w:p>
      <w:pPr>
        <w:pStyle w:val="ListBullet"/>
        <w:spacing w:after="0"/>
        <w:ind w:left="245" w:hanging="245"/>
      </w:pPr>
      <w:r>
        <w:rPr>
          <w:b/>
          <w:color w:val="000000"/>
        </w:rPr>
        <w:t xml:space="preserve">Slide 4. </w:t>
      </w:r>
      <w:r>
        <w:rPr>
          <w:color w:val="000000"/>
        </w:rPr>
        <w:t>RNA ranks 2 of 20, DNA 1 of 20; RNA against DNA Spearman 0.89. No cell percentage is quoted: the array titration failed (mean error 0.242 against a bar of 0.05). Rats 70 and 71 carry the largest myeloid share, but neither pre-stated host index moved with arm (ranks 7 and 9 of 20).</w:t>
      </w:r>
    </w:p>
    <w:p>
      <w:pPr>
        <w:pStyle w:val="ListBullet"/>
        <w:spacing w:after="0"/>
        <w:ind w:left="245" w:hanging="245"/>
      </w:pPr>
      <w:r>
        <w:rPr>
          <w:b/>
          <w:color w:val="000000"/>
        </w:rPr>
        <w:t xml:space="preserve">Slide 5. </w:t>
      </w:r>
      <w:r>
        <w:rPr>
          <w:color w:val="000000"/>
        </w:rPr>
        <w:t>Sensitivities 0.45-0.47; 0.37 without IL66B; 0.03 in the one fraction-matched pair. Host 0.31 and tumor 0.22 use the same sum as the C-share, which the per-gene table reproduces exactly; they are not in the manuscript yet. Fraction as a covariate recovers 2 of 48 tumor-cell genes. Mesenchymal: tumor-cell change -0.44; composition-generated difference ranks 5 of 20, so 'not shown', never 'absent'; rat score v myeloid Spearman 0.66 (backup 14).</w:t>
      </w:r>
    </w:p>
    <w:p>
      <w:pPr>
        <w:pStyle w:val="ListBullet"/>
        <w:spacing w:after="0"/>
        <w:ind w:left="245" w:hanging="245"/>
      </w:pPr>
      <w:r>
        <w:rPr>
          <w:b/>
          <w:color w:val="000000"/>
        </w:rPr>
        <w:t xml:space="preserve">Slide 6. </w:t>
      </w:r>
      <w:r>
        <w:rPr>
          <w:color w:val="000000"/>
        </w:rPr>
        <w:t>Every leave-one-out run: NES -1.88 to -2.02, nominal p &lt; 0.002; q &lt; 0.05 in 15 of 35 filtered runs; without IL68B q stays below 0.05 at all five seeds, so it carries the size, not the direction (backup 15). The translation-initiation set is 80 of 80 ribosomal-protein genes with no initiation factor. Printed abstract: NES -3.17, FDR 1.6e-26 came from a first-pass test that treats genes as independent; its mitochondrial shift did not survive. Whether translation changes is a puromycin or polysome experiment.</w:t>
      </w:r>
    </w:p>
    <w:p>
      <w:pPr>
        <w:pStyle w:val="ListBullet"/>
        <w:spacing w:after="0"/>
        <w:ind w:left="245" w:hanging="245"/>
      </w:pPr>
      <w:r>
        <w:rPr>
          <w:b/>
          <w:color w:val="000000"/>
        </w:rPr>
        <w:t xml:space="preserve">Slide 7. </w:t>
      </w:r>
      <w:r>
        <w:rPr>
          <w:color w:val="000000"/>
        </w:rPr>
        <w:t>The pre-registration expected this to fail. The same test on the contralateral sample was abandoned at its gate: the assignment floor scored as high as the sample (0.0024 against 0.0019).</w:t>
      </w:r>
    </w:p>
    <w:p>
      <w:pPr>
        <w:pStyle w:val="ListBullet"/>
        <w:spacing w:after="0"/>
        <w:ind w:left="245" w:hanging="245"/>
      </w:pPr>
      <w:r>
        <w:rPr>
          <w:b/>
          <w:color w:val="000000"/>
        </w:rPr>
        <w:t xml:space="preserve">Slide 8. </w:t>
      </w:r>
      <w:r>
        <w:rPr>
          <w:color w:val="000000"/>
        </w:rPr>
        <w:t>Genotype, Y dose and copy number are three readouts of ONE array; the independence is array against RNA, on separate aliquots. Culture correlation 0.72. Y-linked transcripts 112 per million human counts, 177-209 in tumors, 2.9 in the tumor-free library. Limits: internal floor only (0.33 %, 0.55 %), the external floor never finished; one run, no blank, so cross-talk and library contamination are not fully excluded; no histology exists for these animals; one of two animals, interval 1.3-98.7 %, no rate. N168B's rat number is inferred.</w:t>
      </w:r>
    </w:p>
    <w:p>
      <w:pPr>
        <w:pStyle w:val="ListBullet"/>
        <w:spacing w:after="0"/>
        <w:ind w:left="245" w:hanging="245"/>
      </w:pPr>
      <w:r>
        <w:rPr>
          <w:b/>
          <w:color w:val="000000"/>
        </w:rPr>
        <w:t xml:space="preserve">Slide 9. </w:t>
      </w:r>
      <w:r>
        <w:rPr>
          <w:color w:val="000000"/>
        </w:rPr>
        <w:t>These are other models and they do not rank the two readings: Chanoch-Myers also dissected the hemispheres apart, but unlike rat 69 they confirmed cells in place with H&amp;E and spatial transcriptomics. See the prior-art list below.</w:t>
      </w:r>
    </w:p>
    <w:p>
      <w:pPr>
        <w:pStyle w:val="ListBullet"/>
        <w:spacing w:after="0"/>
        <w:ind w:left="245" w:hanging="245"/>
      </w:pPr>
      <w:r>
        <w:rPr>
          <w:b/>
          <w:color w:val="000000"/>
        </w:rPr>
        <w:t xml:space="preserve">Slide 10. </w:t>
      </w:r>
      <w:r>
        <w:rPr>
          <w:color w:val="000000"/>
        </w:rPr>
        <w:t>Keep every instrument sentence conditional or a question. No ranking, no rate, nothing about human resections. Someone else's measurement: malignant cells recovered from gloves or instruments in 14 of 47 canine cancer operations. Two of three pre-registered tests reject 'the core diluted' (distance 0.153 against a null 99.5th percentile of 0.028); the directional one does not (P = 0.56). That argues only against carry-over of representative tissue as the whole explanation (backup 13). No clone-level evidence; rank 15 of 20 for resembling the recurrences. If asked about the blade, say the record does not state it.</w:t>
      </w:r>
    </w:p>
    <w:p>
      <w:pPr>
        <w:pStyle w:val="ListBullet"/>
        <w:spacing w:after="0"/>
        <w:ind w:left="245" w:hanging="245"/>
      </w:pPr>
      <w:r>
        <w:rPr>
          <w:b/>
          <w:color w:val="000000"/>
        </w:rPr>
        <w:t xml:space="preserve">Slide 11. </w:t>
      </w:r>
      <w:r>
        <w:rPr>
          <w:color w:val="000000"/>
        </w:rPr>
        <w:t>New since v6 (power.json, job 40483640): conservative tumor arms are 63 rats each, bound by the host expression target with the fraction covariate at x 2.98. Whole design 199 conservative, 141 unadjusted, 123 optimistic; 215 if the barcoded arm is separate. The 29 pieces come from arms already planned. Backup 18.</w:t>
      </w:r>
    </w:p>
    <w:p>
      <w:pPr>
        <w:pStyle w:val="ListBullet"/>
        <w:spacing w:after="0"/>
        <w:ind w:left="245" w:hanging="245"/>
      </w:pPr>
      <w:r>
        <w:rPr>
          <w:b/>
          <w:color w:val="000000"/>
        </w:rPr>
        <w:t xml:space="preserve">Slide 12. </w:t>
      </w:r>
      <w:r>
        <w:rPr>
          <w:color w:val="000000"/>
        </w:rPr>
        <w:t>Leave this up for questions. Drugs: ciclopirox is a computational prediction, untested in this model (backup 19). Dimethyloxalylglycine and LY-294002 are research compounds. Indrani Datta's credential is DHI; the JNS author list printing PhD is wrong.</w:t>
      </w:r>
    </w:p>
    <w:p>
      <w:pPr>
        <w:spacing w:after="20" w:before="60"/>
      </w:pPr>
      <w:r>
        <w:rPr>
          <w:b/>
          <w:color w:val="000000"/>
          <w:sz w:val="19"/>
        </w:rPr>
        <w:t>Prior art: what each paper shows, and how far it was read</w:t>
      </w:r>
    </w:p>
    <w:p>
      <w:pPr>
        <w:pStyle w:val="ListBullet"/>
        <w:spacing w:after="0"/>
        <w:ind w:left="245" w:hanging="245"/>
      </w:pPr>
      <w:r>
        <w:rPr>
          <w:b/>
          <w:color w:val="000000"/>
        </w:rPr>
        <w:t xml:space="preserve">Chanoch-Myers R, et al. Nat Commun 2026;17:4079. </w:t>
      </w:r>
      <w:r>
        <w:rPr>
          <w:color w:val="000000"/>
        </w:rPr>
        <w:t>Mice, 20 patient-derived GBM models (no U251). Hemispheres dissected apart, GFP-sorted, single-cell RNA-seq, then single-model grafts, H&amp;E, spatial transcriptomics. 53–83 % of cells from each of three models and 11 % from a fourth were in the contralateral hemisphere; the rest minimal to none. [Read: full text.]</w:t>
      </w:r>
    </w:p>
    <w:p>
      <w:pPr>
        <w:pStyle w:val="ListBullet"/>
        <w:spacing w:after="0"/>
        <w:ind w:left="245" w:hanging="245"/>
      </w:pPr>
      <w:r>
        <w:rPr>
          <w:b/>
          <w:color w:val="000000"/>
        </w:rPr>
        <w:t xml:space="preserve">van Nifterik KA, et al. J Neurosurg 2006;105:739-744. </w:t>
      </w:r>
      <w:r>
        <w:rPr>
          <w:color w:val="000000"/>
        </w:rPr>
        <w:t>Two patients. One second GBM arose in the opposite hemisphere. Loss-of-heterozygosity, TP53 and EGFR profiling showed the second tumor's changes identical with and additional to the primary's; called a distant recurrence. [Read: abstract.]</w:t>
      </w:r>
    </w:p>
    <w:p>
      <w:pPr>
        <w:pStyle w:val="ListBullet"/>
        <w:spacing w:after="0"/>
        <w:ind w:left="245" w:hanging="245"/>
      </w:pPr>
      <w:r>
        <w:rPr>
          <w:b/>
          <w:color w:val="000000"/>
        </w:rPr>
        <w:t xml:space="preserve">Johnston AL, et al. PLoS Biol 2007;5:e212. </w:t>
      </w:r>
      <w:r>
        <w:rPr>
          <w:color w:val="000000"/>
        </w:rPr>
        <w:t>SCID mice. In vivo selection recovered invasive human glioma cells from the contralateral side, U87 and also U251N, by GFP and culture, not by sequence. [Read: full text, relevant sections.]</w:t>
      </w:r>
    </w:p>
    <w:p>
      <w:pPr>
        <w:pStyle w:val="ListBullet"/>
        <w:spacing w:after="0"/>
        <w:ind w:left="245" w:hanging="245"/>
      </w:pPr>
      <w:r>
        <w:rPr>
          <w:b/>
          <w:color w:val="000000"/>
        </w:rPr>
        <w:t xml:space="preserve">Sahm F, et al. Arch Neurol 2012;69:523-526. </w:t>
      </w:r>
      <w:r>
        <w:rPr>
          <w:color w:val="000000"/>
        </w:rPr>
        <w:t>Four patients, IDH1-mutant diffuse glioma, not IDH-wildtype GBM. A mutant-IDH1 R132H antibody found single tumor cells in whole-brain sections, in areas that looked unremarkable grossly and on histology. [Read: abstract.]</w:t>
      </w:r>
    </w:p>
    <w:p>
      <w:pPr>
        <w:pStyle w:val="ListBullet"/>
        <w:spacing w:after="0"/>
        <w:ind w:left="245" w:hanging="245"/>
      </w:pPr>
      <w:r>
        <w:rPr>
          <w:b/>
          <w:color w:val="000000"/>
        </w:rPr>
        <w:t xml:space="preserve">Tamura R, et al. Mol Brain 2019;12:45. </w:t>
      </w:r>
      <w:r>
        <w:rPr>
          <w:color w:val="000000"/>
        </w:rPr>
        <w:t>Mice, human glioma stem cells. Time-lapse and cleared-brain imaging, not sequencing: cells in the corpus callosum moved toward the contralateral side. [Read: abstract.]</w:t>
      </w:r>
    </w:p>
    <w:p>
      <w:pPr>
        <w:spacing w:after="20" w:before="0"/>
      </w:pPr>
      <w:r>
        <w:rPr>
          <w:b w:val="0"/>
          <w:color w:val="000000"/>
          <w:sz w:val="16"/>
        </w:rPr>
        <w:t>Searched PubMed-indexed records through Europe PMC, 31 October 2026, including full text for U251. No study was found that detected U251 in the far hemisphere by sequence, Alu or human-mitochondrial PCR; that is a search result, not proof of absence. Multifocal-GBM clonality (Abou-El-Ardat 2017) was read but its text does not address hemispheres, so it is not cited on a slide.</w:t>
      </w:r>
    </w:p>
    <w:p>
      <w:pPr>
        <w:spacing w:after="20" w:before="60"/>
      </w:pPr>
      <w:r>
        <w:rPr>
          <w:b/>
          <w:color w:val="000000"/>
          <w:sz w:val="19"/>
        </w:rPr>
        <w:t>Check before the session</w:t>
      </w:r>
    </w:p>
    <w:p>
      <w:pPr>
        <w:pStyle w:val="ListBullet"/>
        <w:spacing w:after="0"/>
        <w:ind w:left="245" w:hanging="245"/>
      </w:pPr>
      <w:r>
        <w:rPr>
          <w:b/>
          <w:color w:val="000000"/>
        </w:rPr>
        <w:t xml:space="preserve">Video. </w:t>
      </w:r>
      <w:r>
        <w:rPr>
          <w:color w:val="000000"/>
        </w:rPr>
        <w:t>Run the deck once on the room's machine. The slide 2 video starts by itself and loops; if it fails, the still frame is enough.</w:t>
      </w:r>
    </w:p>
    <w:p>
      <w:pPr>
        <w:pStyle w:val="ListBullet"/>
        <w:spacing w:after="0"/>
        <w:ind w:left="245" w:hanging="245"/>
      </w:pPr>
      <w:r>
        <w:rPr>
          <w:b/>
          <w:color w:val="000000"/>
        </w:rPr>
        <w:t xml:space="preserve">Disclosures. </w:t>
      </w:r>
      <w:r>
        <w:rPr>
          <w:color w:val="000000"/>
        </w:rPr>
        <w:t>If a financial relationship has changed, e-mail education@cns.org. The guideline on disk still names the 2025 meeting.</w:t>
      </w:r>
    </w:p>
    <w:p>
      <w:pPr>
        <w:pStyle w:val="ListBullet"/>
        <w:spacing w:after="0"/>
        <w:ind w:left="245" w:hanging="245"/>
      </w:pPr>
      <w:r>
        <w:rPr>
          <w:b/>
          <w:color w:val="000000"/>
        </w:rPr>
        <w:t xml:space="preserve">Abstract. </w:t>
      </w:r>
      <w:r>
        <w:rPr>
          <w:color w:val="000000"/>
        </w:rPr>
        <w:t>The printed text is not on this machine; ABSTRACT.md was used. Compare it with the program.</w:t>
      </w:r>
    </w:p>
    <w:p>
      <w:pPr>
        <w:spacing w:after="20" w:before="60"/>
      </w:pPr>
      <w:r>
        <w:rPr>
          <w:b/>
          <w:color w:val="000000"/>
          <w:sz w:val="19"/>
        </w:rPr>
        <w:t>Yours to decide or get permission for</w:t>
      </w:r>
    </w:p>
    <w:p>
      <w:pPr>
        <w:pStyle w:val="ListBullet"/>
        <w:spacing w:after="0"/>
        <w:ind w:left="245" w:hanging="245"/>
      </w:pPr>
      <w:r>
        <w:rPr>
          <w:b/>
          <w:color w:val="000000"/>
        </w:rPr>
        <w:t xml:space="preserve">Permission. </w:t>
      </w:r>
      <w:r>
        <w:rPr>
          <w:color w:val="000000"/>
        </w:rPr>
        <w:t>The Nagaraja 2021 video (slide 2) and the Chanoch-Myers Fig. 1f panel (slide 9) are captioned permission pending. The panel's licence is CC BY-NC-ND, so a crop may need the publisher's consent.</w:t>
      </w:r>
    </w:p>
    <w:p>
      <w:pPr>
        <w:pStyle w:val="ListBullet"/>
        <w:spacing w:after="0"/>
        <w:ind w:left="245" w:hanging="245"/>
      </w:pPr>
      <w:r>
        <w:rPr>
          <w:b/>
          <w:color w:val="000000"/>
        </w:rPr>
        <w:t xml:space="preserve">Timing. </w:t>
      </w:r>
      <w:r>
        <w:rPr>
          <w:color w:val="000000"/>
        </w:rPr>
        <w:t>Whether slides 8 to 10 go in before the manuscript is submitted, and whether your co-authors have seen them.</w:t>
      </w:r>
    </w:p>
    <w:p>
      <w:pPr>
        <w:pStyle w:val="ListBullet"/>
        <w:spacing w:after="0"/>
        <w:ind w:left="245" w:hanging="245"/>
      </w:pPr>
      <w:r>
        <w:rPr>
          <w:b/>
          <w:color w:val="000000"/>
        </w:rPr>
        <w:t xml:space="preserve">Blade. </w:t>
      </w:r>
      <w:r>
        <w:rPr>
          <w:color w:val="000000"/>
        </w:rPr>
        <w:t>Ask Dr. Nagaraja whether a fresh blade was used between pieces. A yes changes the 'if it was carried' sentence. Harvest dates per animal are also unknown.</w:t>
      </w:r>
    </w:p>
    <w:p>
      <w:pPr>
        <w:pStyle w:val="ListBullet"/>
        <w:spacing w:after="0"/>
        <w:ind w:left="245" w:hanging="245"/>
      </w:pPr>
      <w:r>
        <w:rPr>
          <w:b/>
          <w:color w:val="000000"/>
        </w:rPr>
        <w:t xml:space="preserve">Drug. </w:t>
      </w:r>
      <w:r>
        <w:rPr>
          <w:color w:val="000000"/>
        </w:rPr>
        <w:t>Ciclopirox is on backup 19, so the talk stays on infiltration and the LITT response. Adding it back costs about 25 s.</w:t>
      </w:r>
    </w:p>
    <w:p>
      <w:pPr>
        <w:pStyle w:val="ListBullet"/>
        <w:spacing w:after="0"/>
        <w:ind w:left="245" w:hanging="245"/>
      </w:pPr>
      <w:r>
        <w:rPr>
          <w:b/>
          <w:color w:val="000000"/>
        </w:rPr>
        <w:t xml:space="preserve">Sizing. </w:t>
      </w:r>
      <w:r>
        <w:rPr>
          <w:color w:val="000000"/>
        </w:rPr>
        <w:t>power.json raises the conservative tumor arms from 44 to 63 rats. The manuscripts still call 44 binding.</w:t>
      </w:r>
    </w:p>
    <w:p>
      <w:pPr>
        <w:pStyle w:val="ListBullet"/>
        <w:spacing w:after="0"/>
        <w:ind w:left="245" w:hanging="245"/>
      </w:pPr>
      <w:r>
        <w:rPr>
          <w:b/>
          <w:color w:val="000000"/>
        </w:rPr>
        <w:t xml:space="preserve">Not finished. </w:t>
      </w:r>
      <w:r>
        <w:rPr>
          <w:color w:val="000000"/>
        </w:rPr>
        <w:t>The external floor, calibrated DNA fraction and multi-omics runs were cancelled on 27 September under your account; Aim 3 timed out that day. Nothing newer exists for them.</w:t>
      </w:r>
    </w:p>
    <w:sectPr w:rsidR="00FC693F" w:rsidRPr="0006063C" w:rsidSect="00034616">
      <w:pgSz w:w="12240" w:h="15840"/>
      <w:pgMar w:top="648"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40" w:lineRule="auto"/>
    </w:pPr>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2026 Abstract 418: instructions for the six-minute talk</dc:title>
  <dc:subject/>
  <dc:creator>Gregory J. Schwing</dc:creator>
  <cp:keywords/>
  <dc:description>generated by python-docx</dc:description>
  <cp:lastModifiedBy/>
  <cp:revision>1</cp:revision>
  <dcterms:created xsi:type="dcterms:W3CDTF">2013-12-23T23:15:00Z</dcterms:created>
  <dcterms:modified xsi:type="dcterms:W3CDTF">2013-12-23T23:15:00Z</dcterms:modified>
  <cp:category/>
</cp:coreProperties>
</file>