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0F52A8"/>
          <w:sz w:val="34"/>
          <w:szCs w:val="34"/>
        </w:rPr>
        <w:t xml:space="preserve">ENTITY RELATIONSHIP DIAGRAMS</w:t>
      </w:r>
    </w:p>
    <w:p>
      <w:pPr>
        <w:pBdr>
          <w:bottom w:val="single" w:color="1879E2" w:sz="12" w:space="8"/>
        </w:pBdr>
        <w:spacing w:before="120"/>
        <w:jc w:val="center"/>
      </w:pPr>
      <w:r>
        <w:rPr>
          <w:sz w:val="8"/>
          <w:szCs w:val="8"/>
        </w:rPr>
        <w:t xml:space="preserve"/>
      </w:r>
    </w:p>
    <w:p>
      <w:pPr>
        <w:spacing w:before="300"/>
        <w:jc w:val="center"/>
      </w:pPr>
      <w:r>
        <w:rPr>
          <w:b/>
          <w:bCs/>
          <w:color w:val="1879E2"/>
          <w:sz w:val="46"/>
          <w:szCs w:val="46"/>
        </w:rPr>
        <w:t xml:space="preserve">YESE</w:t>
      </w:r>
    </w:p>
    <w:p>
      <w:pPr>
        <w:spacing w:before="60"/>
        <w:jc w:val="center"/>
      </w:pPr>
      <w:r>
        <w:rPr>
          <w:i/>
          <w:iCs/>
          <w:color w:val="555555"/>
          <w:sz w:val="20"/>
          <w:szCs w:val="20"/>
        </w:rPr>
        <w:t xml:space="preserve">OpenTek School Enterprise Management System (SEMS-ERP)</w:t>
      </w:r>
    </w:p>
    <w:p>
      <w:pPr>
        <w:spacing w:before="100"/>
        <w:jc w:val="center"/>
      </w:pPr>
      <w:r>
        <w:rPr>
          <w:i/>
          <w:iCs/>
          <w:color w:val="777777"/>
          <w:sz w:val="19"/>
          <w:szCs w:val="19"/>
        </w:rPr>
        <w:t xml:space="preserve">Modular Data Model — Domain Map, per-Domain ERDs &amp; Data Dictionary</w:t>
      </w:r>
    </w:p>
    <w:p>
      <w:pPr>
        <w:spacing w:before="760"/>
        <w:jc w:val="center"/>
      </w:pPr>
      <w:r>
        <w:rPr>
          <w:b/>
          <w:bCs/>
          <w:sz w:val="20"/>
          <w:szCs w:val="20"/>
        </w:rPr>
        <w:t xml:space="preserve">Version 1.0 — Aligned to the Master Implementation Prompt &amp; SRS</w:t>
      </w:r>
    </w:p>
    <w:p>
      <w:pPr>
        <w:spacing w:before="80"/>
        <w:jc w:val="center"/>
      </w:pPr>
      <w:r>
        <w:rPr>
          <w:color w:val="555555"/>
          <w:sz w:val="20"/>
          <w:szCs w:val="20"/>
        </w:rPr>
        <w:t xml:space="preserve">Prepared by KWIDJA Marc &amp; NOKA Gildas — OpenTek</w:t>
      </w:r>
    </w:p>
    <w:p>
      <w:pPr>
        <w:spacing w:before="60"/>
        <w:jc w:val="center"/>
      </w:pPr>
      <w:r>
        <w:rPr>
          <w:color w:val="555555"/>
          <w:sz w:val="20"/>
          <w:szCs w:val="20"/>
        </w:rPr>
        <w:t xml:space="preserve">Date: 29 September 2026</w:t>
      </w:r>
    </w:p>
    <w:p>
      <w:r>
        <w:br w:type="page"/>
      </w:r>
    </w:p>
    <w:p>
      <w:pPr>
        <w:pStyle w:val="Heading1"/>
        <w:spacing w:after="120" w:before="300"/>
      </w:pPr>
      <w:r>
        <w:rPr>
          <w:b/>
          <w:bCs/>
          <w:color w:val="0F52A8"/>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b/>
          <w:bCs/>
          <w:color w:val="0F52A8"/>
          <w:sz w:val="28"/>
          <w:szCs w:val="28"/>
        </w:rPr>
        <w:t xml:space="preserve">1. Introduction</w:t>
      </w:r>
    </w:p>
    <w:p>
      <w:pPr>
        <w:pStyle w:val="Heading2"/>
        <w:spacing w:after="90" w:before="200"/>
      </w:pPr>
      <w:r>
        <w:rPr>
          <w:b/>
          <w:bCs/>
          <w:color w:val="1879E2"/>
          <w:sz w:val="23"/>
          <w:szCs w:val="23"/>
        </w:rPr>
        <w:t xml:space="preserve">1.1 Purpose</w:t>
      </w:r>
    </w:p>
    <w:p>
      <w:pPr>
        <w:spacing w:after="120" w:before="0" w:line="276"/>
      </w:pPr>
      <w:r>
        <w:rPr>
          <w:b w:val="false"/>
          <w:bCs w:val="false"/>
          <w:i w:val="false"/>
          <w:iCs w:val="false"/>
          <w:sz w:val="21"/>
          <w:szCs w:val="21"/>
        </w:rPr>
        <w:t xml:space="preserve">This document presents the data model for YESE — OpenTek's multi-tenant, modular School Enterprise Management System (SEMS-ERP). Because the platform is genuinely modular, the model is presented as a modular set: a domain map showing how the domains relate, followed by a detailed entity-relationship diagram for each domain, and a consolidated data dictionary. It is derived from the database architecture in the Master Implementation Prompt and the SRS, and targets PostgreSQL.</w:t>
      </w:r>
    </w:p>
    <w:p>
      <w:pPr>
        <w:pStyle w:val="Heading2"/>
        <w:spacing w:after="90" w:before="200"/>
      </w:pPr>
      <w:r>
        <w:rPr>
          <w:b/>
          <w:bCs/>
          <w:color w:val="1879E2"/>
          <w:sz w:val="23"/>
          <w:szCs w:val="23"/>
        </w:rPr>
        <w:t xml:space="preserve">1.2 Notation &amp; Conventions</w:t>
      </w:r>
    </w:p>
    <w:p>
      <w:pPr>
        <w:pStyle w:val="ListParagraph"/>
        <w:numPr>
          <w:ilvl w:val="0"/>
          <w:numId w:val="2"/>
        </w:numPr>
        <w:spacing w:after="60" w:line="264"/>
      </w:pPr>
      <w:r>
        <w:rPr>
          <w:b/>
          <w:bCs/>
          <w:sz w:val="21"/>
          <w:szCs w:val="21"/>
        </w:rPr>
        <w:t xml:space="preserve">Notation: </w:t>
      </w:r>
      <w:r>
        <w:rPr>
          <w:sz w:val="21"/>
          <w:szCs w:val="21"/>
        </w:rPr>
        <w:t xml:space="preserve">crow's-foot ERD. Each entity lists its columns with markers — </w:t>
      </w:r>
      <w:r>
        <w:rPr>
          <w:b/>
          <w:bCs/>
          <w:sz w:val="21"/>
          <w:szCs w:val="21"/>
        </w:rPr>
        <w:t xml:space="preserve">PK</w:t>
      </w:r>
      <w:r>
        <w:rPr>
          <w:sz w:val="21"/>
          <w:szCs w:val="21"/>
        </w:rPr>
        <w:t xml:space="preserve"> (primary key), </w:t>
      </w:r>
      <w:r>
        <w:rPr>
          <w:b/>
          <w:bCs/>
          <w:sz w:val="21"/>
          <w:szCs w:val="21"/>
        </w:rPr>
        <w:t xml:space="preserve">FK</w:t>
      </w:r>
      <w:r>
        <w:rPr>
          <w:sz w:val="21"/>
          <w:szCs w:val="21"/>
        </w:rPr>
        <w:t xml:space="preserve"> (foreign key), </w:t>
      </w:r>
      <w:r>
        <w:rPr>
          <w:b/>
          <w:bCs/>
          <w:sz w:val="21"/>
          <w:szCs w:val="21"/>
        </w:rPr>
        <w:t xml:space="preserve">UQ</w:t>
      </w:r>
      <w:r>
        <w:rPr>
          <w:sz w:val="21"/>
          <w:szCs w:val="21"/>
        </w:rPr>
        <w:t xml:space="preserve"> (unique). A leading * marks a required (NOT NULL) column.</w:t>
      </w:r>
    </w:p>
    <w:p>
      <w:pPr>
        <w:pStyle w:val="ListParagraph"/>
        <w:numPr>
          <w:ilvl w:val="0"/>
          <w:numId w:val="2"/>
        </w:numPr>
        <w:spacing w:after="60" w:line="264"/>
      </w:pPr>
      <w:r>
        <w:rPr>
          <w:b/>
          <w:bCs/>
          <w:sz w:val="21"/>
          <w:szCs w:val="21"/>
        </w:rPr>
        <w:t xml:space="preserve">Database: </w:t>
      </w:r>
      <w:r>
        <w:rPr>
          <w:sz w:val="21"/>
          <w:szCs w:val="21"/>
        </w:rPr>
        <w:t xml:space="preserve">PostgreSQL. This resolves the earlier Postgres-vs-MongoDB ambiguity decisively in favour of PostgreSQL (relational integrity, row-level tenant isolation, financial ledgers).</w:t>
      </w:r>
    </w:p>
    <w:p>
      <w:pPr>
        <w:pStyle w:val="ListParagraph"/>
        <w:numPr>
          <w:ilvl w:val="0"/>
          <w:numId w:val="2"/>
        </w:numPr>
        <w:spacing w:after="60" w:line="264"/>
      </w:pPr>
      <w:r>
        <w:rPr>
          <w:b/>
          <w:bCs/>
          <w:sz w:val="21"/>
          <w:szCs w:val="21"/>
        </w:rPr>
        <w:t xml:space="preserve">Multi-tenancy: </w:t>
      </w:r>
      <w:r>
        <w:rPr>
          <w:sz w:val="21"/>
          <w:szCs w:val="21"/>
        </w:rPr>
        <w:t xml:space="preserve">every tenant-owned table carries a tenant_id foreign key; isolation is enforced at the data-access layer, never the frontend.</w:t>
      </w:r>
    </w:p>
    <w:p>
      <w:pPr>
        <w:pStyle w:val="ListParagraph"/>
        <w:numPr>
          <w:ilvl w:val="0"/>
          <w:numId w:val="2"/>
        </w:numPr>
        <w:spacing w:after="60" w:line="264"/>
      </w:pPr>
      <w:r>
        <w:rPr>
          <w:b/>
          <w:bCs/>
          <w:sz w:val="21"/>
          <w:szCs w:val="21"/>
        </w:rPr>
        <w:t xml:space="preserve">Data ownership: </w:t>
      </w:r>
      <w:r>
        <w:rPr>
          <w:sz w:val="21"/>
          <w:szCs w:val="21"/>
        </w:rPr>
        <w:t xml:space="preserve">each domain owns its tables. Cross-domain references use foreign keys to another domain's primary key, but a module never manipulates another module's internal tables directly.</w:t>
      </w:r>
    </w:p>
    <w:p>
      <w:pPr>
        <w:pStyle w:val="ListParagraph"/>
        <w:numPr>
          <w:ilvl w:val="0"/>
          <w:numId w:val="2"/>
        </w:numPr>
        <w:spacing w:after="60" w:line="264"/>
      </w:pPr>
      <w:r>
        <w:rPr>
          <w:b/>
          <w:bCs/>
          <w:sz w:val="21"/>
          <w:szCs w:val="21"/>
        </w:rPr>
        <w:t xml:space="preserve">Identifiers: </w:t>
      </w:r>
      <w:r>
        <w:rPr>
          <w:sz w:val="21"/>
          <w:szCs w:val="21"/>
        </w:rPr>
        <w:t xml:space="preserve">UUID surrogate keys throughout, for global uniqueness across tenants.</w:t>
      </w:r>
    </w:p>
    <w:p>
      <w:r>
        <w:br w:type="page"/>
      </w:r>
    </w:p>
    <w:p>
      <w:pPr>
        <w:sectPr>
          <w:headerReference w:type="default" r:id="rId7"/>
          <w:footerReference w:type="default" r:id="rId8"/>
          <w:pgSz w:w="11906" w:h="16838" w:orient="portrait"/>
          <w:pgMar w:top="1200" w:right="1200" w:bottom="1200" w:left="1200" w:header="708" w:footer="708" w:gutter="0"/>
          <w:pgNumType/>
          <w:docGrid w:linePitch="360"/>
        </w:sectPr>
      </w:pPr>
    </w:p>
    <w:p>
      <w:pPr>
        <w:pStyle w:val="Heading1"/>
        <w:spacing w:after="120" w:before="300"/>
      </w:pPr>
      <w:r>
        <w:rPr>
          <w:b/>
          <w:bCs/>
          <w:color w:val="0F52A8"/>
          <w:sz w:val="28"/>
          <w:szCs w:val="28"/>
        </w:rPr>
        <w:t xml:space="preserve">2. Domain Map (Cross-Domain Relationships)</w:t>
      </w:r>
    </w:p>
    <w:p>
      <w:pPr>
        <w:spacing w:after="120" w:before="0" w:line="276"/>
      </w:pPr>
      <w:r>
        <w:rPr>
          <w:b w:val="false"/>
          <w:bCs w:val="false"/>
          <w:i w:val="false"/>
          <w:iCs w:val="false"/>
          <w:sz w:val="21"/>
          <w:szCs w:val="21"/>
        </w:rPr>
        <w:t xml:space="preserve">The domain map shows the platform's domains and how they depend on one another. Every domain depends on the Core Platform for tenancy, identity, RBAC and module activation. Arrows indicate dependency and data reference between domains, not table-level foreign keys (those appear in the per-domain diagrams that follow).</w:t>
      </w:r>
    </w:p>
    <w:p>
      <w:pPr>
        <w:spacing w:after="80" w:before="60"/>
        <w:jc w:val="center"/>
      </w:pPr>
      <w:r>
        <w:drawing>
          <wp:inline distT="0" distB="0" distL="0" distR="0">
            <wp:extent cx="95154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15475" cy="5334000"/>
                    </a:xfrm>
                    <a:prstGeom prst="rect">
                      <a:avLst/>
                    </a:prstGeom>
                  </pic:spPr>
                </pic:pic>
              </a:graphicData>
            </a:graphic>
          </wp:inline>
        </w:drawing>
      </w:r>
    </w:p>
    <w:p>
      <w:pPr>
        <w:spacing w:after="150"/>
        <w:jc w:val="center"/>
      </w:pPr>
      <w:r>
        <w:rPr>
          <w:i/>
          <w:iCs/>
          <w:color w:val="777777"/>
          <w:sz w:val="17"/>
          <w:szCs w:val="17"/>
        </w:rPr>
        <w:t xml:space="preserve">Figure 1 — YESE domain map.</w:t>
      </w:r>
    </w:p>
    <w:p>
      <w:r>
        <w:br w:type="page"/>
      </w:r>
    </w:p>
    <w:p>
      <w:pPr>
        <w:pStyle w:val="Heading1"/>
        <w:spacing w:after="120" w:before="300"/>
      </w:pPr>
      <w:r>
        <w:rPr>
          <w:b/>
          <w:bCs/>
          <w:color w:val="0F52A8"/>
          <w:sz w:val="28"/>
          <w:szCs w:val="28"/>
        </w:rPr>
        <w:t xml:space="preserve">3. Core Platform Domain</w:t>
      </w:r>
    </w:p>
    <w:p>
      <w:pPr>
        <w:spacing w:after="120" w:before="0" w:line="276"/>
      </w:pPr>
      <w:r>
        <w:rPr>
          <w:b w:val="false"/>
          <w:bCs w:val="false"/>
          <w:i w:val="false"/>
          <w:iCs w:val="false"/>
          <w:sz w:val="21"/>
          <w:szCs w:val="21"/>
        </w:rPr>
        <w:t xml:space="preserve">The Core Platform underpins every other module: multi-tenancy (Tenant), identity and accounts (User, Identity), the two-layer RBAC model (Role with fixed archetypes plus tenant-defined custom roles, Permission, and the User-Role / Role-Permission junctions), the Module Registry that makes the platform configurable (Module, Module_Version, Module_Dependency, Tenant_Module, Module_Configuration), and Audit_Log for traceability.</w:t>
      </w:r>
    </w:p>
    <w:p>
      <w:pPr>
        <w:spacing w:after="80" w:before="60"/>
        <w:jc w:val="center"/>
      </w:pPr>
      <w:r>
        <w:drawing>
          <wp:inline distT="0" distB="0" distL="0" distR="0">
            <wp:extent cx="952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525000" cy="2914650"/>
                    </a:xfrm>
                    <a:prstGeom prst="rect">
                      <a:avLst/>
                    </a:prstGeom>
                  </pic:spPr>
                </pic:pic>
              </a:graphicData>
            </a:graphic>
          </wp:inline>
        </w:drawing>
      </w:r>
    </w:p>
    <w:p>
      <w:pPr>
        <w:spacing w:after="150"/>
        <w:jc w:val="center"/>
      </w:pPr>
      <w:r>
        <w:rPr>
          <w:i/>
          <w:iCs/>
          <w:color w:val="777777"/>
          <w:sz w:val="17"/>
          <w:szCs w:val="17"/>
        </w:rPr>
        <w:t xml:space="preserve">Figure 2 — Core Platform domain ERD.</w:t>
      </w:r>
    </w:p>
    <w:p>
      <w:r>
        <w:br w:type="page"/>
      </w:r>
    </w:p>
    <w:p>
      <w:pPr>
        <w:pStyle w:val="Heading1"/>
        <w:spacing w:after="120" w:before="300"/>
      </w:pPr>
      <w:r>
        <w:rPr>
          <w:b/>
          <w:bCs/>
          <w:color w:val="0F52A8"/>
          <w:sz w:val="28"/>
          <w:szCs w:val="28"/>
        </w:rPr>
        <w:t xml:space="preserve">4. Student &amp; Staff Domains</w:t>
      </w:r>
    </w:p>
    <w:p>
      <w:pPr>
        <w:spacing w:after="120" w:before="0" w:line="276"/>
      </w:pPr>
      <w:r>
        <w:rPr>
          <w:b w:val="false"/>
          <w:bCs w:val="false"/>
          <w:i w:val="false"/>
          <w:iCs w:val="false"/>
          <w:sz w:val="21"/>
          <w:szCs w:val="21"/>
        </w:rPr>
        <w:t xml:space="preserve">The Student domain holds student records, profiles, statuses, documents, and the many-to-many Student-Guardian relationship (a student may have several guardians and a guardian several children). Not every student has a user account — primary pupils may have none. The Staff domain mirrors this for teaching and non-teaching staff, with types, statuses, profiles and assignments.</w:t>
      </w:r>
    </w:p>
    <w:p>
      <w:pPr>
        <w:spacing w:after="80" w:before="60"/>
        <w:jc w:val="center"/>
      </w:pPr>
      <w:r>
        <w:drawing>
          <wp:inline distT="0" distB="0" distL="0" distR="0">
            <wp:extent cx="952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0" cy="3924300"/>
                    </a:xfrm>
                    <a:prstGeom prst="rect">
                      <a:avLst/>
                    </a:prstGeom>
                  </pic:spPr>
                </pic:pic>
              </a:graphicData>
            </a:graphic>
          </wp:inline>
        </w:drawing>
      </w:r>
    </w:p>
    <w:p>
      <w:pPr>
        <w:spacing w:after="150"/>
        <w:jc w:val="center"/>
      </w:pPr>
      <w:r>
        <w:rPr>
          <w:i/>
          <w:iCs/>
          <w:color w:val="777777"/>
          <w:sz w:val="17"/>
          <w:szCs w:val="17"/>
        </w:rPr>
        <w:t xml:space="preserve">Figure 3 — Student &amp; Staff domains ERD.</w:t>
      </w:r>
    </w:p>
    <w:p>
      <w:r>
        <w:br w:type="page"/>
      </w:r>
    </w:p>
    <w:p>
      <w:pPr>
        <w:pStyle w:val="Heading1"/>
        <w:spacing w:after="120" w:before="300"/>
      </w:pPr>
      <w:r>
        <w:rPr>
          <w:b/>
          <w:bCs/>
          <w:color w:val="0F52A8"/>
          <w:sz w:val="28"/>
          <w:szCs w:val="28"/>
        </w:rPr>
        <w:t xml:space="preserve">5. Academic Structure &amp; Enrollment</w:t>
      </w:r>
    </w:p>
    <w:p>
      <w:pPr>
        <w:spacing w:after="120" w:before="0" w:line="276"/>
      </w:pPr>
      <w:r>
        <w:rPr>
          <w:b w:val="false"/>
          <w:bCs w:val="false"/>
          <w:i w:val="false"/>
          <w:iCs w:val="false"/>
          <w:sz w:val="21"/>
          <w:szCs w:val="21"/>
        </w:rPr>
        <w:t xml:space="preserve">The Academic domain defines the institution's academic frame: academic years and terms, departments, programs, classes and sections, subjects and courses (with credit units for universities), curricula, and teacher assignments. The Enrollment domain places a student into a section for an academic year; Teacher_Assignment binds staff to a subject within a section.</w:t>
      </w:r>
    </w:p>
    <w:p>
      <w:pPr>
        <w:spacing w:after="80" w:before="60"/>
        <w:jc w:val="center"/>
      </w:pPr>
      <w:r>
        <w:drawing>
          <wp:inline distT="0" distB="0" distL="0" distR="0">
            <wp:extent cx="50768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76825" cy="5334000"/>
                    </a:xfrm>
                    <a:prstGeom prst="rect">
                      <a:avLst/>
                    </a:prstGeom>
                  </pic:spPr>
                </pic:pic>
              </a:graphicData>
            </a:graphic>
          </wp:inline>
        </w:drawing>
      </w:r>
    </w:p>
    <w:p>
      <w:pPr>
        <w:spacing w:after="150"/>
        <w:jc w:val="center"/>
      </w:pPr>
      <w:r>
        <w:rPr>
          <w:i/>
          <w:iCs/>
          <w:color w:val="777777"/>
          <w:sz w:val="17"/>
          <w:szCs w:val="17"/>
        </w:rPr>
        <w:t xml:space="preserve">Figure 4 — Academic structure &amp; enrollment ERD.</w:t>
      </w:r>
    </w:p>
    <w:p>
      <w:r>
        <w:br w:type="page"/>
      </w:r>
    </w:p>
    <w:p>
      <w:pPr>
        <w:pStyle w:val="Heading1"/>
        <w:spacing w:after="120" w:before="300"/>
      </w:pPr>
      <w:r>
        <w:rPr>
          <w:b/>
          <w:bCs/>
          <w:color w:val="0F52A8"/>
          <w:sz w:val="28"/>
          <w:szCs w:val="28"/>
        </w:rPr>
        <w:t xml:space="preserve">6. Academic Operations (Attendance · Assessment · Results)</w:t>
      </w:r>
    </w:p>
    <w:p>
      <w:pPr>
        <w:spacing w:after="120" w:before="0" w:line="276"/>
      </w:pPr>
      <w:r>
        <w:rPr>
          <w:b w:val="false"/>
          <w:bCs w:val="false"/>
          <w:i w:val="false"/>
          <w:iCs w:val="false"/>
          <w:sz w:val="21"/>
          <w:szCs w:val="21"/>
        </w:rPr>
        <w:t xml:space="preserve">Academic operations build on enrollment. Attendance records per-session student presence against configurable statuses. Assessment captures assessments, their components, per-student attempts, scores and grade entries, with a grade lifecycle of entered → validated → locked. Results consolidate grades into results, summaries, report cards (school) and transcripts (university).</w:t>
      </w:r>
    </w:p>
    <w:p>
      <w:pPr>
        <w:spacing w:after="80" w:before="60"/>
        <w:jc w:val="center"/>
      </w:pPr>
      <w:r>
        <w:drawing>
          <wp:inline distT="0" distB="0" distL="0" distR="0">
            <wp:extent cx="952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0" cy="2838450"/>
                    </a:xfrm>
                    <a:prstGeom prst="rect">
                      <a:avLst/>
                    </a:prstGeom>
                  </pic:spPr>
                </pic:pic>
              </a:graphicData>
            </a:graphic>
          </wp:inline>
        </w:drawing>
      </w:r>
    </w:p>
    <w:p>
      <w:pPr>
        <w:spacing w:after="150"/>
        <w:jc w:val="center"/>
      </w:pPr>
      <w:r>
        <w:rPr>
          <w:i/>
          <w:iCs/>
          <w:color w:val="777777"/>
          <w:sz w:val="17"/>
          <w:szCs w:val="17"/>
        </w:rPr>
        <w:t xml:space="preserve">Figure 5 — Academic operations ERD.</w:t>
      </w:r>
    </w:p>
    <w:p>
      <w:r>
        <w:br w:type="page"/>
      </w:r>
    </w:p>
    <w:p>
      <w:pPr>
        <w:pStyle w:val="Heading1"/>
        <w:spacing w:after="120" w:before="300"/>
      </w:pPr>
      <w:r>
        <w:rPr>
          <w:b/>
          <w:bCs/>
          <w:color w:val="0F52A8"/>
          <w:sz w:val="28"/>
          <w:szCs w:val="28"/>
        </w:rPr>
        <w:t xml:space="preserve">7. Finance Domain</w:t>
      </w:r>
    </w:p>
    <w:p>
      <w:pPr>
        <w:spacing w:after="120" w:before="0" w:line="276"/>
      </w:pPr>
      <w:r>
        <w:rPr>
          <w:b w:val="false"/>
          <w:bCs w:val="false"/>
          <w:i w:val="false"/>
          <w:iCs w:val="false"/>
          <w:sz w:val="21"/>
          <w:szCs w:val="21"/>
        </w:rPr>
        <w:t xml:space="preserve">The Finance domain defines fee structures and items, generates invoices and invoice items, records payments (including Mobile Money channels) and issues uniquely-numbered receipts, and maintains an immutable financial-transaction ledger with discounts and scholarships. Financial records are never deleted — corrections use void, reversal or cancellation with an audit trail.</w:t>
      </w:r>
    </w:p>
    <w:p>
      <w:pPr>
        <w:spacing w:after="80" w:before="60"/>
        <w:jc w:val="center"/>
      </w:pPr>
      <w:r>
        <w:drawing>
          <wp:inline distT="0" distB="0" distL="0" distR="0">
            <wp:extent cx="93440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344025" cy="5334000"/>
                    </a:xfrm>
                    <a:prstGeom prst="rect">
                      <a:avLst/>
                    </a:prstGeom>
                  </pic:spPr>
                </pic:pic>
              </a:graphicData>
            </a:graphic>
          </wp:inline>
        </w:drawing>
      </w:r>
    </w:p>
    <w:p>
      <w:pPr>
        <w:spacing w:after="150"/>
        <w:jc w:val="center"/>
      </w:pPr>
      <w:r>
        <w:rPr>
          <w:i/>
          <w:iCs/>
          <w:color w:val="777777"/>
          <w:sz w:val="17"/>
          <w:szCs w:val="17"/>
        </w:rPr>
        <w:t xml:space="preserve">Figure 6 — Finance domain ERD.</w:t>
      </w:r>
    </w:p>
    <w:p>
      <w:r>
        <w:br w:type="page"/>
      </w:r>
    </w:p>
    <w:p>
      <w:pPr>
        <w:pStyle w:val="Heading1"/>
        <w:spacing w:after="120" w:before="300"/>
      </w:pPr>
      <w:r>
        <w:rPr>
          <w:b/>
          <w:bCs/>
          <w:color w:val="0F52A8"/>
          <w:sz w:val="28"/>
          <w:szCs w:val="28"/>
        </w:rPr>
        <w:t xml:space="preserve">8. HR &amp; Payroll Domains</w:t>
      </w:r>
    </w:p>
    <w:p>
      <w:pPr>
        <w:spacing w:after="120" w:before="0" w:line="276"/>
      </w:pPr>
      <w:r>
        <w:rPr>
          <w:b w:val="false"/>
          <w:bCs w:val="false"/>
          <w:i w:val="false"/>
          <w:iCs w:val="false"/>
          <w:sz w:val="21"/>
          <w:szCs w:val="21"/>
        </w:rPr>
        <w:t xml:space="preserve">The HR domain manages leave types and requests with approvals, staff attendance and staff performance. The Payroll domain manages salary structures, payroll runs and per-staff payroll items with their deductions, bonuses and generated payslips. Both depend on the Staff domain.</w:t>
      </w:r>
    </w:p>
    <w:p>
      <w:pPr>
        <w:spacing w:after="80" w:before="60"/>
        <w:jc w:val="center"/>
      </w:pPr>
      <w:r>
        <w:drawing>
          <wp:inline distT="0" distB="0" distL="0" distR="0">
            <wp:extent cx="952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0" cy="3209925"/>
                    </a:xfrm>
                    <a:prstGeom prst="rect">
                      <a:avLst/>
                    </a:prstGeom>
                  </pic:spPr>
                </pic:pic>
              </a:graphicData>
            </a:graphic>
          </wp:inline>
        </w:drawing>
      </w:r>
    </w:p>
    <w:p>
      <w:pPr>
        <w:spacing w:after="150"/>
        <w:jc w:val="center"/>
      </w:pPr>
      <w:r>
        <w:rPr>
          <w:i/>
          <w:iCs/>
          <w:color w:val="777777"/>
          <w:sz w:val="17"/>
          <w:szCs w:val="17"/>
        </w:rPr>
        <w:t xml:space="preserve">Figure 7 — HR &amp; Payroll domains ERD.</w:t>
      </w:r>
    </w:p>
    <w:p>
      <w:r>
        <w:br w:type="page"/>
      </w:r>
    </w:p>
    <w:p>
      <w:pPr>
        <w:pStyle w:val="Heading1"/>
        <w:spacing w:after="120" w:before="300"/>
      </w:pPr>
      <w:r>
        <w:rPr>
          <w:b/>
          <w:bCs/>
          <w:color w:val="0F52A8"/>
          <w:sz w:val="28"/>
          <w:szCs w:val="28"/>
        </w:rPr>
        <w:t xml:space="preserve">9. Communication &amp; Notifications</w:t>
      </w:r>
    </w:p>
    <w:p>
      <w:pPr>
        <w:spacing w:after="120" w:before="0" w:line="276"/>
      </w:pPr>
      <w:r>
        <w:rPr>
          <w:b w:val="false"/>
          <w:bCs w:val="false"/>
          <w:i w:val="false"/>
          <w:iCs w:val="false"/>
          <w:sz w:val="21"/>
          <w:szCs w:val="21"/>
        </w:rPr>
        <w:t xml:space="preserve">The Communication domain models conversations and their participants, messages, announcements, and — critically — Communication_Rule, which encodes the communication firewall enforced at the backend (for example, Parent→Student and Student→Admin direct messaging are blocked). The Notifications domain records notifications and their multi-channel delivery (in-app, email, SMS, WhatsApp).</w:t>
      </w:r>
    </w:p>
    <w:p>
      <w:pPr>
        <w:spacing w:after="80" w:before="60"/>
        <w:jc w:val="center"/>
      </w:pPr>
      <w:r>
        <w:drawing>
          <wp:inline distT="0" distB="0" distL="0" distR="0">
            <wp:extent cx="952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525000" cy="2581275"/>
                    </a:xfrm>
                    <a:prstGeom prst="rect">
                      <a:avLst/>
                    </a:prstGeom>
                  </pic:spPr>
                </pic:pic>
              </a:graphicData>
            </a:graphic>
          </wp:inline>
        </w:drawing>
      </w:r>
    </w:p>
    <w:p>
      <w:pPr>
        <w:spacing w:after="150"/>
        <w:jc w:val="center"/>
      </w:pPr>
      <w:r>
        <w:rPr>
          <w:i/>
          <w:iCs/>
          <w:color w:val="777777"/>
          <w:sz w:val="17"/>
          <w:szCs w:val="17"/>
        </w:rPr>
        <w:t xml:space="preserve">Figure 8 — Communication &amp; Notifications ERD.</w:t>
      </w:r>
    </w:p>
    <w:p>
      <w:r>
        <w:br w:type="page"/>
      </w:r>
    </w:p>
    <w:p>
      <w:pPr>
        <w:pStyle w:val="Heading1"/>
        <w:spacing w:after="120" w:before="300"/>
      </w:pPr>
      <w:r>
        <w:rPr>
          <w:b/>
          <w:bCs/>
          <w:color w:val="0F52A8"/>
          <w:sz w:val="28"/>
          <w:szCs w:val="28"/>
        </w:rPr>
        <w:t xml:space="preserve">10. Data Dictionary</w:t>
      </w:r>
    </w:p>
    <w:p>
      <w:pPr>
        <w:spacing w:after="120" w:before="0" w:line="276"/>
      </w:pPr>
      <w:r>
        <w:rPr>
          <w:b w:val="false"/>
          <w:bCs w:val="false"/>
          <w:i w:val="false"/>
          <w:iCs w:val="false"/>
          <w:sz w:val="21"/>
          <w:szCs w:val="21"/>
        </w:rPr>
        <w:t xml:space="preserve">A consolidated reference of the principal entities by domain. Tenant-owned entities additionally carry tenant_id (omitted below for brevity).</w:t>
      </w:r>
    </w:p>
    <w:p>
      <w:pPr>
        <w:pStyle w:val="Heading2"/>
        <w:spacing w:after="90" w:before="200"/>
      </w:pPr>
      <w:r>
        <w:rPr>
          <w:b/>
          <w:bCs/>
          <w:color w:val="1879E2"/>
          <w:sz w:val="23"/>
          <w:szCs w:val="23"/>
        </w:rPr>
        <w:t xml:space="preserve">10.1 Core Platform</w:t>
      </w:r>
    </w:p>
    <w:tbl>
      <w:tblPr>
        <w:tblW w:type="dxa" w:w="12200"/>
        <w:tblBorders>
          <w:top w:val="single" w:color="B8C4D9" w:sz="4"/>
          <w:left w:val="single" w:color="B8C4D9" w:sz="4"/>
          <w:bottom w:val="single" w:color="B8C4D9" w:sz="4"/>
          <w:right w:val="single" w:color="B8C4D9" w:sz="4"/>
          <w:insideH w:val="single" w:color="B8C4D9" w:sz="4"/>
          <w:insideV w:val="single" w:color="B8C4D9" w:sz="4"/>
        </w:tblBorders>
      </w:tblPr>
      <w:tblGrid>
        <w:gridCol w:w="3200"/>
        <w:gridCol w:w="9000"/>
      </w:tblGrid>
      <w:tr>
        <w:trPr>
          <w:tblHeader/>
        </w:trPr>
        <w:tc>
          <w:tcPr>
            <w:tcW w:type="dxa" w:w="3200"/>
            <w:shd w:fill="1A1B4A" w:color="auto" w:val="clear"/>
            <w:tcMar>
              <w:top w:type="dxa" w:w="60"/>
              <w:left w:type="dxa" w:w="100"/>
              <w:bottom w:type="dxa" w:w="60"/>
              <w:right w:type="dxa" w:w="100"/>
            </w:tcMar>
          </w:tcPr>
          <w:p>
            <w:pPr>
              <w:spacing w:after="0" w:line="252"/>
            </w:pPr>
            <w:r>
              <w:rPr>
                <w:b/>
                <w:bCs/>
                <w:color w:val="FFFFFF"/>
                <w:sz w:val="20"/>
                <w:szCs w:val="20"/>
              </w:rPr>
              <w:t xml:space="preserve">Entity</w:t>
            </w:r>
          </w:p>
        </w:tc>
        <w:tc>
          <w:tcPr>
            <w:tcW w:type="dxa" w:w="9000"/>
            <w:shd w:fill="1A1B4A" w:color="auto" w:val="clear"/>
            <w:tcMar>
              <w:top w:type="dxa" w:w="60"/>
              <w:left w:type="dxa" w:w="100"/>
              <w:bottom w:type="dxa" w:w="60"/>
              <w:right w:type="dxa" w:w="100"/>
            </w:tcMar>
          </w:tcPr>
          <w:p>
            <w:pPr>
              <w:spacing w:after="0" w:line="252"/>
            </w:pPr>
            <w:r>
              <w:rPr>
                <w:b/>
                <w:bCs/>
                <w:color w:val="FFFFFF"/>
                <w:sz w:val="20"/>
                <w:szCs w:val="20"/>
              </w:rPr>
              <w:t xml:space="preserve">Purpose</w:t>
            </w:r>
          </w:p>
        </w:tc>
      </w:tr>
      <w:tr>
        <w:tc>
          <w:tcPr>
            <w:tcW w:type="dxa" w:w="3200"/>
            <w:tcMar>
              <w:top w:type="dxa" w:w="60"/>
              <w:left w:type="dxa" w:w="100"/>
              <w:bottom w:type="dxa" w:w="60"/>
              <w:right w:type="dxa" w:w="100"/>
            </w:tcMar>
          </w:tcPr>
          <w:p>
            <w:pPr>
              <w:spacing w:after="0" w:line="252"/>
            </w:pPr>
            <w:r>
              <w:rPr>
                <w:b w:val="false"/>
                <w:bCs w:val="false"/>
                <w:sz w:val="20"/>
                <w:szCs w:val="20"/>
              </w:rPr>
              <w:t xml:space="preserve">Tenant</w:t>
            </w:r>
          </w:p>
        </w:tc>
        <w:tc>
          <w:tcPr>
            <w:tcW w:type="dxa" w:w="9000"/>
            <w:tcMar>
              <w:top w:type="dxa" w:w="60"/>
              <w:left w:type="dxa" w:w="100"/>
              <w:bottom w:type="dxa" w:w="60"/>
              <w:right w:type="dxa" w:w="100"/>
            </w:tcMar>
          </w:tcPr>
          <w:p>
            <w:pPr>
              <w:spacing w:after="0" w:line="252"/>
            </w:pPr>
            <w:r>
              <w:rPr>
                <w:b w:val="false"/>
                <w:bCs w:val="false"/>
                <w:sz w:val="20"/>
                <w:szCs w:val="20"/>
              </w:rPr>
              <w:t xml:space="preserve">One institution (tenant); root of all tenant-scoped data.</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User</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An account belonging to a tenant.</w:t>
            </w:r>
          </w:p>
        </w:tc>
      </w:tr>
      <w:tr>
        <w:tc>
          <w:tcPr>
            <w:tcW w:type="dxa" w:w="3200"/>
            <w:tcMar>
              <w:top w:type="dxa" w:w="60"/>
              <w:left w:type="dxa" w:w="100"/>
              <w:bottom w:type="dxa" w:w="60"/>
              <w:right w:type="dxa" w:w="100"/>
            </w:tcMar>
          </w:tcPr>
          <w:p>
            <w:pPr>
              <w:spacing w:after="0" w:line="252"/>
            </w:pPr>
            <w:r>
              <w:rPr>
                <w:b w:val="false"/>
                <w:bCs w:val="false"/>
                <w:sz w:val="20"/>
                <w:szCs w:val="20"/>
              </w:rPr>
              <w:t xml:space="preserve">Identity</w:t>
            </w:r>
          </w:p>
        </w:tc>
        <w:tc>
          <w:tcPr>
            <w:tcW w:type="dxa" w:w="9000"/>
            <w:tcMar>
              <w:top w:type="dxa" w:w="60"/>
              <w:left w:type="dxa" w:w="100"/>
              <w:bottom w:type="dxa" w:w="60"/>
              <w:right w:type="dxa" w:w="100"/>
            </w:tcMar>
          </w:tcPr>
          <w:p>
            <w:pPr>
              <w:spacing w:after="0" w:line="252"/>
            </w:pPr>
            <w:r>
              <w:rPr>
                <w:b w:val="false"/>
                <w:bCs w:val="false"/>
                <w:sz w:val="20"/>
                <w:szCs w:val="20"/>
              </w:rPr>
              <w:t xml:space="preserve">Authentication identity/provider linkage and MFA for a user.</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Role</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A role — a fixed archetype (admin/staff/parent/student) or a tenant-defined custom role.</w:t>
            </w:r>
          </w:p>
        </w:tc>
      </w:tr>
      <w:tr>
        <w:tc>
          <w:tcPr>
            <w:tcW w:type="dxa" w:w="3200"/>
            <w:tcMar>
              <w:top w:type="dxa" w:w="60"/>
              <w:left w:type="dxa" w:w="100"/>
              <w:bottom w:type="dxa" w:w="60"/>
              <w:right w:type="dxa" w:w="100"/>
            </w:tcMar>
          </w:tcPr>
          <w:p>
            <w:pPr>
              <w:spacing w:after="0" w:line="252"/>
            </w:pPr>
            <w:r>
              <w:rPr>
                <w:b w:val="false"/>
                <w:bCs w:val="false"/>
                <w:sz w:val="20"/>
                <w:szCs w:val="20"/>
              </w:rPr>
              <w:t xml:space="preserve">Permission</w:t>
            </w:r>
          </w:p>
        </w:tc>
        <w:tc>
          <w:tcPr>
            <w:tcW w:type="dxa" w:w="9000"/>
            <w:tcMar>
              <w:top w:type="dxa" w:w="60"/>
              <w:left w:type="dxa" w:w="100"/>
              <w:bottom w:type="dxa" w:w="60"/>
              <w:right w:type="dxa" w:w="100"/>
            </w:tcMar>
          </w:tcPr>
          <w:p>
            <w:pPr>
              <w:spacing w:after="0" w:line="252"/>
            </w:pPr>
            <w:r>
              <w:rPr>
                <w:b w:val="false"/>
                <w:bCs w:val="false"/>
                <w:sz w:val="20"/>
                <w:szCs w:val="20"/>
              </w:rPr>
              <w:t xml:space="preserve">A discrete permission (module · resource · action).</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User_Role / Role_Permission</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Junctions assigning roles to users and permissions to roles.</w:t>
            </w:r>
          </w:p>
        </w:tc>
      </w:tr>
      <w:tr>
        <w:tc>
          <w:tcPr>
            <w:tcW w:type="dxa" w:w="3200"/>
            <w:tcMar>
              <w:top w:type="dxa" w:w="60"/>
              <w:left w:type="dxa" w:w="100"/>
              <w:bottom w:type="dxa" w:w="60"/>
              <w:right w:type="dxa" w:w="100"/>
            </w:tcMar>
          </w:tcPr>
          <w:p>
            <w:pPr>
              <w:spacing w:after="0" w:line="252"/>
            </w:pPr>
            <w:r>
              <w:rPr>
                <w:b w:val="false"/>
                <w:bCs w:val="false"/>
                <w:sz w:val="20"/>
                <w:szCs w:val="20"/>
              </w:rPr>
              <w:t xml:space="preserve">Module</w:t>
            </w:r>
          </w:p>
        </w:tc>
        <w:tc>
          <w:tcPr>
            <w:tcW w:type="dxa" w:w="9000"/>
            <w:tcMar>
              <w:top w:type="dxa" w:w="60"/>
              <w:left w:type="dxa" w:w="100"/>
              <w:bottom w:type="dxa" w:w="60"/>
              <w:right w:type="dxa" w:w="100"/>
            </w:tcMar>
          </w:tcPr>
          <w:p>
            <w:pPr>
              <w:spacing w:after="0" w:line="252"/>
            </w:pPr>
            <w:r>
              <w:rPr>
                <w:b w:val="false"/>
                <w:bCs w:val="false"/>
                <w:sz w:val="20"/>
                <w:szCs w:val="20"/>
              </w:rPr>
              <w:t xml:space="preserve">A registered platform module.</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Module_Version / Module_Dependency</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Module version metadata and inter-module dependencies.</w:t>
            </w:r>
          </w:p>
        </w:tc>
      </w:tr>
      <w:tr>
        <w:tc>
          <w:tcPr>
            <w:tcW w:type="dxa" w:w="3200"/>
            <w:tcMar>
              <w:top w:type="dxa" w:w="60"/>
              <w:left w:type="dxa" w:w="100"/>
              <w:bottom w:type="dxa" w:w="60"/>
              <w:right w:type="dxa" w:w="100"/>
            </w:tcMar>
          </w:tcPr>
          <w:p>
            <w:pPr>
              <w:spacing w:after="0" w:line="252"/>
            </w:pPr>
            <w:r>
              <w:rPr>
                <w:b w:val="false"/>
                <w:bCs w:val="false"/>
                <w:sz w:val="20"/>
                <w:szCs w:val="20"/>
              </w:rPr>
              <w:t xml:space="preserve">Tenant_Module</w:t>
            </w:r>
          </w:p>
        </w:tc>
        <w:tc>
          <w:tcPr>
            <w:tcW w:type="dxa" w:w="9000"/>
            <w:tcMar>
              <w:top w:type="dxa" w:w="60"/>
              <w:left w:type="dxa" w:w="100"/>
              <w:bottom w:type="dxa" w:w="60"/>
              <w:right w:type="dxa" w:w="100"/>
            </w:tcMar>
          </w:tcPr>
          <w:p>
            <w:pPr>
              <w:spacing w:after="0" w:line="252"/>
            </w:pPr>
            <w:r>
              <w:rPr>
                <w:b w:val="false"/>
                <w:bCs w:val="false"/>
                <w:sz w:val="20"/>
                <w:szCs w:val="20"/>
              </w:rPr>
              <w:t xml:space="preserve">Per-tenant activation of a module (the modularity engine).</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Module_Configuration</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Per-tenant module settings.</w:t>
            </w:r>
          </w:p>
        </w:tc>
      </w:tr>
      <w:tr>
        <w:tc>
          <w:tcPr>
            <w:tcW w:type="dxa" w:w="3200"/>
            <w:tcMar>
              <w:top w:type="dxa" w:w="60"/>
              <w:left w:type="dxa" w:w="100"/>
              <w:bottom w:type="dxa" w:w="60"/>
              <w:right w:type="dxa" w:w="100"/>
            </w:tcMar>
          </w:tcPr>
          <w:p>
            <w:pPr>
              <w:spacing w:after="0" w:line="252"/>
            </w:pPr>
            <w:r>
              <w:rPr>
                <w:b w:val="false"/>
                <w:bCs w:val="false"/>
                <w:sz w:val="20"/>
                <w:szCs w:val="20"/>
              </w:rPr>
              <w:t xml:space="preserve">Audit_Log</w:t>
            </w:r>
          </w:p>
        </w:tc>
        <w:tc>
          <w:tcPr>
            <w:tcW w:type="dxa" w:w="9000"/>
            <w:tcMar>
              <w:top w:type="dxa" w:w="60"/>
              <w:left w:type="dxa" w:w="100"/>
              <w:bottom w:type="dxa" w:w="60"/>
              <w:right w:type="dxa" w:w="100"/>
            </w:tcMar>
          </w:tcPr>
          <w:p>
            <w:pPr>
              <w:spacing w:after="0" w:line="252"/>
            </w:pPr>
            <w:r>
              <w:rPr>
                <w:b w:val="false"/>
                <w:bCs w:val="false"/>
                <w:sz w:val="20"/>
                <w:szCs w:val="20"/>
              </w:rPr>
              <w:t xml:space="preserve">Immutable record of critical actions.</w:t>
            </w:r>
          </w:p>
        </w:tc>
      </w:tr>
    </w:tbl>
    <w:p>
      <w:pPr>
        <w:spacing w:after="60"/>
      </w:pPr>
      <w:r>
        <w:t xml:space="preserve"/>
      </w:r>
    </w:p>
    <w:p>
      <w:pPr>
        <w:pStyle w:val="Heading2"/>
        <w:spacing w:after="90" w:before="200"/>
      </w:pPr>
      <w:r>
        <w:rPr>
          <w:b/>
          <w:bCs/>
          <w:color w:val="1879E2"/>
          <w:sz w:val="23"/>
          <w:szCs w:val="23"/>
        </w:rPr>
        <w:t xml:space="preserve">10.2 Student &amp; Staff</w:t>
      </w:r>
    </w:p>
    <w:tbl>
      <w:tblPr>
        <w:tblW w:type="dxa" w:w="12200"/>
        <w:tblBorders>
          <w:top w:val="single" w:color="B8C4D9" w:sz="4"/>
          <w:left w:val="single" w:color="B8C4D9" w:sz="4"/>
          <w:bottom w:val="single" w:color="B8C4D9" w:sz="4"/>
          <w:right w:val="single" w:color="B8C4D9" w:sz="4"/>
          <w:insideH w:val="single" w:color="B8C4D9" w:sz="4"/>
          <w:insideV w:val="single" w:color="B8C4D9" w:sz="4"/>
        </w:tblBorders>
      </w:tblPr>
      <w:tblGrid>
        <w:gridCol w:w="3200"/>
        <w:gridCol w:w="9000"/>
      </w:tblGrid>
      <w:tr>
        <w:trPr>
          <w:tblHeader/>
        </w:trPr>
        <w:tc>
          <w:tcPr>
            <w:tcW w:type="dxa" w:w="3200"/>
            <w:shd w:fill="1A1B4A" w:color="auto" w:val="clear"/>
            <w:tcMar>
              <w:top w:type="dxa" w:w="60"/>
              <w:left w:type="dxa" w:w="100"/>
              <w:bottom w:type="dxa" w:w="60"/>
              <w:right w:type="dxa" w:w="100"/>
            </w:tcMar>
          </w:tcPr>
          <w:p>
            <w:pPr>
              <w:spacing w:after="0" w:line="252"/>
            </w:pPr>
            <w:r>
              <w:rPr>
                <w:b/>
                <w:bCs/>
                <w:color w:val="FFFFFF"/>
                <w:sz w:val="20"/>
                <w:szCs w:val="20"/>
              </w:rPr>
              <w:t xml:space="preserve">Entity</w:t>
            </w:r>
          </w:p>
        </w:tc>
        <w:tc>
          <w:tcPr>
            <w:tcW w:type="dxa" w:w="9000"/>
            <w:shd w:fill="1A1B4A" w:color="auto" w:val="clear"/>
            <w:tcMar>
              <w:top w:type="dxa" w:w="60"/>
              <w:left w:type="dxa" w:w="100"/>
              <w:bottom w:type="dxa" w:w="60"/>
              <w:right w:type="dxa" w:w="100"/>
            </w:tcMar>
          </w:tcPr>
          <w:p>
            <w:pPr>
              <w:spacing w:after="0" w:line="252"/>
            </w:pPr>
            <w:r>
              <w:rPr>
                <w:b/>
                <w:bCs/>
                <w:color w:val="FFFFFF"/>
                <w:sz w:val="20"/>
                <w:szCs w:val="20"/>
              </w:rPr>
              <w:t xml:space="preserve">Purpose</w:t>
            </w:r>
          </w:p>
        </w:tc>
      </w:tr>
      <w:tr>
        <w:tc>
          <w:tcPr>
            <w:tcW w:type="dxa" w:w="3200"/>
            <w:tcMar>
              <w:top w:type="dxa" w:w="60"/>
              <w:left w:type="dxa" w:w="100"/>
              <w:bottom w:type="dxa" w:w="60"/>
              <w:right w:type="dxa" w:w="100"/>
            </w:tcMar>
          </w:tcPr>
          <w:p>
            <w:pPr>
              <w:spacing w:after="0" w:line="252"/>
            </w:pPr>
            <w:r>
              <w:rPr>
                <w:b w:val="false"/>
                <w:bCs w:val="false"/>
                <w:sz w:val="20"/>
                <w:szCs w:val="20"/>
              </w:rPr>
              <w:t xml:space="preserve">Student / Student_Profile / Student_Status</w:t>
            </w:r>
          </w:p>
        </w:tc>
        <w:tc>
          <w:tcPr>
            <w:tcW w:type="dxa" w:w="9000"/>
            <w:tcMar>
              <w:top w:type="dxa" w:w="60"/>
              <w:left w:type="dxa" w:w="100"/>
              <w:bottom w:type="dxa" w:w="60"/>
              <w:right w:type="dxa" w:w="100"/>
            </w:tcMar>
          </w:tcPr>
          <w:p>
            <w:pPr>
              <w:spacing w:after="0" w:line="252"/>
            </w:pPr>
            <w:r>
              <w:rPr>
                <w:b w:val="false"/>
                <w:bCs w:val="false"/>
                <w:sz w:val="20"/>
                <w:szCs w:val="20"/>
              </w:rPr>
              <w:t xml:space="preserve">Student record, extended profile, and lifecycle status.</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Guardian / Student_Guardian</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Guardian record and the many-to-many student-guardian link.</w:t>
            </w:r>
          </w:p>
        </w:tc>
      </w:tr>
      <w:tr>
        <w:tc>
          <w:tcPr>
            <w:tcW w:type="dxa" w:w="3200"/>
            <w:tcMar>
              <w:top w:type="dxa" w:w="60"/>
              <w:left w:type="dxa" w:w="100"/>
              <w:bottom w:type="dxa" w:w="60"/>
              <w:right w:type="dxa" w:w="100"/>
            </w:tcMar>
          </w:tcPr>
          <w:p>
            <w:pPr>
              <w:spacing w:after="0" w:line="252"/>
            </w:pPr>
            <w:r>
              <w:rPr>
                <w:b w:val="false"/>
                <w:bCs w:val="false"/>
                <w:sz w:val="20"/>
                <w:szCs w:val="20"/>
              </w:rPr>
              <w:t xml:space="preserve">Student_Document</w:t>
            </w:r>
          </w:p>
        </w:tc>
        <w:tc>
          <w:tcPr>
            <w:tcW w:type="dxa" w:w="9000"/>
            <w:tcMar>
              <w:top w:type="dxa" w:w="60"/>
              <w:left w:type="dxa" w:w="100"/>
              <w:bottom w:type="dxa" w:w="60"/>
              <w:right w:type="dxa" w:w="100"/>
            </w:tcMar>
          </w:tcPr>
          <w:p>
            <w:pPr>
              <w:spacing w:after="0" w:line="252"/>
            </w:pPr>
            <w:r>
              <w:rPr>
                <w:b w:val="false"/>
                <w:bCs w:val="false"/>
                <w:sz w:val="20"/>
                <w:szCs w:val="20"/>
              </w:rPr>
              <w:t xml:space="preserve">Documents attached to a student.</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Staff / Staff_Profile / Staff_Type / Staff_Status</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Staff record, profile, type and status.</w:t>
            </w:r>
          </w:p>
        </w:tc>
      </w:tr>
      <w:tr>
        <w:tc>
          <w:tcPr>
            <w:tcW w:type="dxa" w:w="3200"/>
            <w:tcMar>
              <w:top w:type="dxa" w:w="60"/>
              <w:left w:type="dxa" w:w="100"/>
              <w:bottom w:type="dxa" w:w="60"/>
              <w:right w:type="dxa" w:w="100"/>
            </w:tcMar>
          </w:tcPr>
          <w:p>
            <w:pPr>
              <w:spacing w:after="0" w:line="252"/>
            </w:pPr>
            <w:r>
              <w:rPr>
                <w:b w:val="false"/>
                <w:bCs w:val="false"/>
                <w:sz w:val="20"/>
                <w:szCs w:val="20"/>
              </w:rPr>
              <w:t xml:space="preserve">Staff_Assignment</w:t>
            </w:r>
          </w:p>
        </w:tc>
        <w:tc>
          <w:tcPr>
            <w:tcW w:type="dxa" w:w="9000"/>
            <w:tcMar>
              <w:top w:type="dxa" w:w="60"/>
              <w:left w:type="dxa" w:w="100"/>
              <w:bottom w:type="dxa" w:w="60"/>
              <w:right w:type="dxa" w:w="100"/>
            </w:tcMar>
          </w:tcPr>
          <w:p>
            <w:pPr>
              <w:spacing w:after="0" w:line="252"/>
            </w:pPr>
            <w:r>
              <w:rPr>
                <w:b w:val="false"/>
                <w:bCs w:val="false"/>
                <w:sz w:val="20"/>
                <w:szCs w:val="20"/>
              </w:rPr>
              <w:t xml:space="preserve">A staff member's assignment (e.g. to a department).</w:t>
            </w:r>
          </w:p>
        </w:tc>
      </w:tr>
    </w:tbl>
    <w:p>
      <w:pPr>
        <w:spacing w:after="60"/>
      </w:pPr>
      <w:r>
        <w:t xml:space="preserve"/>
      </w:r>
    </w:p>
    <w:p>
      <w:pPr>
        <w:pStyle w:val="Heading2"/>
        <w:spacing w:after="90" w:before="200"/>
      </w:pPr>
      <w:r>
        <w:rPr>
          <w:b/>
          <w:bCs/>
          <w:color w:val="1879E2"/>
          <w:sz w:val="23"/>
          <w:szCs w:val="23"/>
        </w:rPr>
        <w:t xml:space="preserve">10.3 Academic &amp; Enrollment</w:t>
      </w:r>
    </w:p>
    <w:tbl>
      <w:tblPr>
        <w:tblW w:type="dxa" w:w="12200"/>
        <w:tblBorders>
          <w:top w:val="single" w:color="B8C4D9" w:sz="4"/>
          <w:left w:val="single" w:color="B8C4D9" w:sz="4"/>
          <w:bottom w:val="single" w:color="B8C4D9" w:sz="4"/>
          <w:right w:val="single" w:color="B8C4D9" w:sz="4"/>
          <w:insideH w:val="single" w:color="B8C4D9" w:sz="4"/>
          <w:insideV w:val="single" w:color="B8C4D9" w:sz="4"/>
        </w:tblBorders>
      </w:tblPr>
      <w:tblGrid>
        <w:gridCol w:w="3200"/>
        <w:gridCol w:w="9000"/>
      </w:tblGrid>
      <w:tr>
        <w:trPr>
          <w:tblHeader/>
        </w:trPr>
        <w:tc>
          <w:tcPr>
            <w:tcW w:type="dxa" w:w="3200"/>
            <w:shd w:fill="1A1B4A" w:color="auto" w:val="clear"/>
            <w:tcMar>
              <w:top w:type="dxa" w:w="60"/>
              <w:left w:type="dxa" w:w="100"/>
              <w:bottom w:type="dxa" w:w="60"/>
              <w:right w:type="dxa" w:w="100"/>
            </w:tcMar>
          </w:tcPr>
          <w:p>
            <w:pPr>
              <w:spacing w:after="0" w:line="252"/>
            </w:pPr>
            <w:r>
              <w:rPr>
                <w:b/>
                <w:bCs/>
                <w:color w:val="FFFFFF"/>
                <w:sz w:val="20"/>
                <w:szCs w:val="20"/>
              </w:rPr>
              <w:t xml:space="preserve">Entity</w:t>
            </w:r>
          </w:p>
        </w:tc>
        <w:tc>
          <w:tcPr>
            <w:tcW w:type="dxa" w:w="9000"/>
            <w:shd w:fill="1A1B4A" w:color="auto" w:val="clear"/>
            <w:tcMar>
              <w:top w:type="dxa" w:w="60"/>
              <w:left w:type="dxa" w:w="100"/>
              <w:bottom w:type="dxa" w:w="60"/>
              <w:right w:type="dxa" w:w="100"/>
            </w:tcMar>
          </w:tcPr>
          <w:p>
            <w:pPr>
              <w:spacing w:after="0" w:line="252"/>
            </w:pPr>
            <w:r>
              <w:rPr>
                <w:b/>
                <w:bCs/>
                <w:color w:val="FFFFFF"/>
                <w:sz w:val="20"/>
                <w:szCs w:val="20"/>
              </w:rPr>
              <w:t xml:space="preserve">Purpose</w:t>
            </w:r>
          </w:p>
        </w:tc>
      </w:tr>
      <w:tr>
        <w:tc>
          <w:tcPr>
            <w:tcW w:type="dxa" w:w="3200"/>
            <w:tcMar>
              <w:top w:type="dxa" w:w="60"/>
              <w:left w:type="dxa" w:w="100"/>
              <w:bottom w:type="dxa" w:w="60"/>
              <w:right w:type="dxa" w:w="100"/>
            </w:tcMar>
          </w:tcPr>
          <w:p>
            <w:pPr>
              <w:spacing w:after="0" w:line="252"/>
            </w:pPr>
            <w:r>
              <w:rPr>
                <w:b w:val="false"/>
                <w:bCs w:val="false"/>
                <w:sz w:val="20"/>
                <w:szCs w:val="20"/>
              </w:rPr>
              <w:t xml:space="preserve">Academic_Year / Term</w:t>
            </w:r>
          </w:p>
        </w:tc>
        <w:tc>
          <w:tcPr>
            <w:tcW w:type="dxa" w:w="9000"/>
            <w:tcMar>
              <w:top w:type="dxa" w:w="60"/>
              <w:left w:type="dxa" w:w="100"/>
              <w:bottom w:type="dxa" w:w="60"/>
              <w:right w:type="dxa" w:w="100"/>
            </w:tcMar>
          </w:tcPr>
          <w:p>
            <w:pPr>
              <w:spacing w:after="0" w:line="252"/>
            </w:pPr>
            <w:r>
              <w:rPr>
                <w:b w:val="false"/>
                <w:bCs w:val="false"/>
                <w:sz w:val="20"/>
                <w:szCs w:val="20"/>
              </w:rPr>
              <w:t xml:space="preserve">The academic calendar.</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Department / Program / Class / Section</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The structural hierarchy of the institution.</w:t>
            </w:r>
          </w:p>
        </w:tc>
      </w:tr>
      <w:tr>
        <w:tc>
          <w:tcPr>
            <w:tcW w:type="dxa" w:w="3200"/>
            <w:tcMar>
              <w:top w:type="dxa" w:w="60"/>
              <w:left w:type="dxa" w:w="100"/>
              <w:bottom w:type="dxa" w:w="60"/>
              <w:right w:type="dxa" w:w="100"/>
            </w:tcMar>
          </w:tcPr>
          <w:p>
            <w:pPr>
              <w:spacing w:after="0" w:line="252"/>
            </w:pPr>
            <w:r>
              <w:rPr>
                <w:b w:val="false"/>
                <w:bCs w:val="false"/>
                <w:sz w:val="20"/>
                <w:szCs w:val="20"/>
              </w:rPr>
              <w:t xml:space="preserve">Subject / Course / Curriculum</w:t>
            </w:r>
          </w:p>
        </w:tc>
        <w:tc>
          <w:tcPr>
            <w:tcW w:type="dxa" w:w="9000"/>
            <w:tcMar>
              <w:top w:type="dxa" w:w="60"/>
              <w:left w:type="dxa" w:w="100"/>
              <w:bottom w:type="dxa" w:w="60"/>
              <w:right w:type="dxa" w:w="100"/>
            </w:tcMar>
          </w:tcPr>
          <w:p>
            <w:pPr>
              <w:spacing w:after="0" w:line="252"/>
            </w:pPr>
            <w:r>
              <w:rPr>
                <w:b w:val="false"/>
                <w:bCs w:val="false"/>
                <w:sz w:val="20"/>
                <w:szCs w:val="20"/>
              </w:rPr>
              <w:t xml:space="preserve">Subjects, credit-bearing courses and program curricula.</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Teacher_Assignment</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Binds a staff member to a subject within a section for a year.</w:t>
            </w:r>
          </w:p>
        </w:tc>
      </w:tr>
      <w:tr>
        <w:tc>
          <w:tcPr>
            <w:tcW w:type="dxa" w:w="3200"/>
            <w:tcMar>
              <w:top w:type="dxa" w:w="60"/>
              <w:left w:type="dxa" w:w="100"/>
              <w:bottom w:type="dxa" w:w="60"/>
              <w:right w:type="dxa" w:w="100"/>
            </w:tcMar>
          </w:tcPr>
          <w:p>
            <w:pPr>
              <w:spacing w:after="0" w:line="252"/>
            </w:pPr>
            <w:r>
              <w:rPr>
                <w:b w:val="false"/>
                <w:bCs w:val="false"/>
                <w:sz w:val="20"/>
                <w:szCs w:val="20"/>
              </w:rPr>
              <w:t xml:space="preserve">Enrollment</w:t>
            </w:r>
          </w:p>
        </w:tc>
        <w:tc>
          <w:tcPr>
            <w:tcW w:type="dxa" w:w="9000"/>
            <w:tcMar>
              <w:top w:type="dxa" w:w="60"/>
              <w:left w:type="dxa" w:w="100"/>
              <w:bottom w:type="dxa" w:w="60"/>
              <w:right w:type="dxa" w:w="100"/>
            </w:tcMar>
          </w:tcPr>
          <w:p>
            <w:pPr>
              <w:spacing w:after="0" w:line="252"/>
            </w:pPr>
            <w:r>
              <w:rPr>
                <w:b w:val="false"/>
                <w:bCs w:val="false"/>
                <w:sz w:val="20"/>
                <w:szCs w:val="20"/>
              </w:rPr>
              <w:t xml:space="preserve">Places a student into a section for an academic year.</w:t>
            </w:r>
          </w:p>
        </w:tc>
      </w:tr>
    </w:tbl>
    <w:p>
      <w:pPr>
        <w:spacing w:after="60"/>
      </w:pPr>
      <w:r>
        <w:t xml:space="preserve"/>
      </w:r>
    </w:p>
    <w:p>
      <w:pPr>
        <w:pStyle w:val="Heading2"/>
        <w:spacing w:after="90" w:before="200"/>
      </w:pPr>
      <w:r>
        <w:rPr>
          <w:b/>
          <w:bCs/>
          <w:color w:val="1879E2"/>
          <w:sz w:val="23"/>
          <w:szCs w:val="23"/>
        </w:rPr>
        <w:t xml:space="preserve">10.4 Academic Operations</w:t>
      </w:r>
    </w:p>
    <w:tbl>
      <w:tblPr>
        <w:tblW w:type="dxa" w:w="12200"/>
        <w:tblBorders>
          <w:top w:val="single" w:color="B8C4D9" w:sz="4"/>
          <w:left w:val="single" w:color="B8C4D9" w:sz="4"/>
          <w:bottom w:val="single" w:color="B8C4D9" w:sz="4"/>
          <w:right w:val="single" w:color="B8C4D9" w:sz="4"/>
          <w:insideH w:val="single" w:color="B8C4D9" w:sz="4"/>
          <w:insideV w:val="single" w:color="B8C4D9" w:sz="4"/>
        </w:tblBorders>
      </w:tblPr>
      <w:tblGrid>
        <w:gridCol w:w="3200"/>
        <w:gridCol w:w="9000"/>
      </w:tblGrid>
      <w:tr>
        <w:trPr>
          <w:tblHeader/>
        </w:trPr>
        <w:tc>
          <w:tcPr>
            <w:tcW w:type="dxa" w:w="3200"/>
            <w:shd w:fill="1A1B4A" w:color="auto" w:val="clear"/>
            <w:tcMar>
              <w:top w:type="dxa" w:w="60"/>
              <w:left w:type="dxa" w:w="100"/>
              <w:bottom w:type="dxa" w:w="60"/>
              <w:right w:type="dxa" w:w="100"/>
            </w:tcMar>
          </w:tcPr>
          <w:p>
            <w:pPr>
              <w:spacing w:after="0" w:line="252"/>
            </w:pPr>
            <w:r>
              <w:rPr>
                <w:b/>
                <w:bCs/>
                <w:color w:val="FFFFFF"/>
                <w:sz w:val="20"/>
                <w:szCs w:val="20"/>
              </w:rPr>
              <w:t xml:space="preserve">Entity</w:t>
            </w:r>
          </w:p>
        </w:tc>
        <w:tc>
          <w:tcPr>
            <w:tcW w:type="dxa" w:w="9000"/>
            <w:shd w:fill="1A1B4A" w:color="auto" w:val="clear"/>
            <w:tcMar>
              <w:top w:type="dxa" w:w="60"/>
              <w:left w:type="dxa" w:w="100"/>
              <w:bottom w:type="dxa" w:w="60"/>
              <w:right w:type="dxa" w:w="100"/>
            </w:tcMar>
          </w:tcPr>
          <w:p>
            <w:pPr>
              <w:spacing w:after="0" w:line="252"/>
            </w:pPr>
            <w:r>
              <w:rPr>
                <w:b/>
                <w:bCs/>
                <w:color w:val="FFFFFF"/>
                <w:sz w:val="20"/>
                <w:szCs w:val="20"/>
              </w:rPr>
              <w:t xml:space="preserve">Purpose</w:t>
            </w:r>
          </w:p>
        </w:tc>
      </w:tr>
      <w:tr>
        <w:tc>
          <w:tcPr>
            <w:tcW w:type="dxa" w:w="3200"/>
            <w:tcMar>
              <w:top w:type="dxa" w:w="60"/>
              <w:left w:type="dxa" w:w="100"/>
              <w:bottom w:type="dxa" w:w="60"/>
              <w:right w:type="dxa" w:w="100"/>
            </w:tcMar>
          </w:tcPr>
          <w:p>
            <w:pPr>
              <w:spacing w:after="0" w:line="252"/>
            </w:pPr>
            <w:r>
              <w:rPr>
                <w:b w:val="false"/>
                <w:bCs w:val="false"/>
                <w:sz w:val="20"/>
                <w:szCs w:val="20"/>
              </w:rPr>
              <w:t xml:space="preserve">Attendance_Session / Attendance_Record / Attendance_Status</w:t>
            </w:r>
          </w:p>
        </w:tc>
        <w:tc>
          <w:tcPr>
            <w:tcW w:type="dxa" w:w="9000"/>
            <w:tcMar>
              <w:top w:type="dxa" w:w="60"/>
              <w:left w:type="dxa" w:w="100"/>
              <w:bottom w:type="dxa" w:w="60"/>
              <w:right w:type="dxa" w:w="100"/>
            </w:tcMar>
          </w:tcPr>
          <w:p>
            <w:pPr>
              <w:spacing w:after="0" w:line="252"/>
            </w:pPr>
            <w:r>
              <w:rPr>
                <w:b w:val="false"/>
                <w:bCs w:val="false"/>
                <w:sz w:val="20"/>
                <w:szCs w:val="20"/>
              </w:rPr>
              <w:t xml:space="preserve">Attendance per session, per student, with status.</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Assessment / Assessment_Component</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An assessment and its weighted components.</w:t>
            </w:r>
          </w:p>
        </w:tc>
      </w:tr>
      <w:tr>
        <w:tc>
          <w:tcPr>
            <w:tcW w:type="dxa" w:w="3200"/>
            <w:tcMar>
              <w:top w:type="dxa" w:w="60"/>
              <w:left w:type="dxa" w:w="100"/>
              <w:bottom w:type="dxa" w:w="60"/>
              <w:right w:type="dxa" w:w="100"/>
            </w:tcMar>
          </w:tcPr>
          <w:p>
            <w:pPr>
              <w:spacing w:after="0" w:line="252"/>
            </w:pPr>
            <w:r>
              <w:rPr>
                <w:b w:val="false"/>
                <w:bCs w:val="false"/>
                <w:sz w:val="20"/>
                <w:szCs w:val="20"/>
              </w:rPr>
              <w:t xml:space="preserve">Assessment_Attempt / Score</w:t>
            </w:r>
          </w:p>
        </w:tc>
        <w:tc>
          <w:tcPr>
            <w:tcW w:type="dxa" w:w="9000"/>
            <w:tcMar>
              <w:top w:type="dxa" w:w="60"/>
              <w:left w:type="dxa" w:w="100"/>
              <w:bottom w:type="dxa" w:w="60"/>
              <w:right w:type="dxa" w:w="100"/>
            </w:tcMar>
          </w:tcPr>
          <w:p>
            <w:pPr>
              <w:spacing w:after="0" w:line="252"/>
            </w:pPr>
            <w:r>
              <w:rPr>
                <w:b w:val="false"/>
                <w:bCs w:val="false"/>
                <w:sz w:val="20"/>
                <w:szCs w:val="20"/>
              </w:rPr>
              <w:t xml:space="preserve">A student's attempt and the scores recorded.</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Grade_Entry</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A validated/locked grade for a student in a subject and term.</w:t>
            </w:r>
          </w:p>
        </w:tc>
      </w:tr>
      <w:tr>
        <w:tc>
          <w:tcPr>
            <w:tcW w:type="dxa" w:w="3200"/>
            <w:tcMar>
              <w:top w:type="dxa" w:w="60"/>
              <w:left w:type="dxa" w:w="100"/>
              <w:bottom w:type="dxa" w:w="60"/>
              <w:right w:type="dxa" w:w="100"/>
            </w:tcMar>
          </w:tcPr>
          <w:p>
            <w:pPr>
              <w:spacing w:after="0" w:line="252"/>
            </w:pPr>
            <w:r>
              <w:rPr>
                <w:b w:val="false"/>
                <w:bCs w:val="false"/>
                <w:sz w:val="20"/>
                <w:szCs w:val="20"/>
              </w:rPr>
              <w:t xml:space="preserve">Result / Result_Summary / Report_Card / Transcript</w:t>
            </w:r>
          </w:p>
        </w:tc>
        <w:tc>
          <w:tcPr>
            <w:tcW w:type="dxa" w:w="9000"/>
            <w:tcMar>
              <w:top w:type="dxa" w:w="60"/>
              <w:left w:type="dxa" w:w="100"/>
              <w:bottom w:type="dxa" w:w="60"/>
              <w:right w:type="dxa" w:w="100"/>
            </w:tcMar>
          </w:tcPr>
          <w:p>
            <w:pPr>
              <w:spacing w:after="0" w:line="252"/>
            </w:pPr>
            <w:r>
              <w:rPr>
                <w:b w:val="false"/>
                <w:bCs w:val="false"/>
                <w:sz w:val="20"/>
                <w:szCs w:val="20"/>
              </w:rPr>
              <w:t xml:space="preserve">Consolidated results, summaries and generated documents.</w:t>
            </w:r>
          </w:p>
        </w:tc>
      </w:tr>
    </w:tbl>
    <w:p>
      <w:pPr>
        <w:spacing w:after="60"/>
      </w:pPr>
      <w:r>
        <w:t xml:space="preserve"/>
      </w:r>
    </w:p>
    <w:p>
      <w:pPr>
        <w:pStyle w:val="Heading2"/>
        <w:spacing w:after="90" w:before="200"/>
      </w:pPr>
      <w:r>
        <w:rPr>
          <w:b/>
          <w:bCs/>
          <w:color w:val="1879E2"/>
          <w:sz w:val="23"/>
          <w:szCs w:val="23"/>
        </w:rPr>
        <w:t xml:space="preserve">10.5 Finance</w:t>
      </w:r>
    </w:p>
    <w:tbl>
      <w:tblPr>
        <w:tblW w:type="dxa" w:w="12200"/>
        <w:tblBorders>
          <w:top w:val="single" w:color="B8C4D9" w:sz="4"/>
          <w:left w:val="single" w:color="B8C4D9" w:sz="4"/>
          <w:bottom w:val="single" w:color="B8C4D9" w:sz="4"/>
          <w:right w:val="single" w:color="B8C4D9" w:sz="4"/>
          <w:insideH w:val="single" w:color="B8C4D9" w:sz="4"/>
          <w:insideV w:val="single" w:color="B8C4D9" w:sz="4"/>
        </w:tblBorders>
      </w:tblPr>
      <w:tblGrid>
        <w:gridCol w:w="3200"/>
        <w:gridCol w:w="9000"/>
      </w:tblGrid>
      <w:tr>
        <w:trPr>
          <w:tblHeader/>
        </w:trPr>
        <w:tc>
          <w:tcPr>
            <w:tcW w:type="dxa" w:w="3200"/>
            <w:shd w:fill="1A1B4A" w:color="auto" w:val="clear"/>
            <w:tcMar>
              <w:top w:type="dxa" w:w="60"/>
              <w:left w:type="dxa" w:w="100"/>
              <w:bottom w:type="dxa" w:w="60"/>
              <w:right w:type="dxa" w:w="100"/>
            </w:tcMar>
          </w:tcPr>
          <w:p>
            <w:pPr>
              <w:spacing w:after="0" w:line="252"/>
            </w:pPr>
            <w:r>
              <w:rPr>
                <w:b/>
                <w:bCs/>
                <w:color w:val="FFFFFF"/>
                <w:sz w:val="20"/>
                <w:szCs w:val="20"/>
              </w:rPr>
              <w:t xml:space="preserve">Entity</w:t>
            </w:r>
          </w:p>
        </w:tc>
        <w:tc>
          <w:tcPr>
            <w:tcW w:type="dxa" w:w="9000"/>
            <w:shd w:fill="1A1B4A" w:color="auto" w:val="clear"/>
            <w:tcMar>
              <w:top w:type="dxa" w:w="60"/>
              <w:left w:type="dxa" w:w="100"/>
              <w:bottom w:type="dxa" w:w="60"/>
              <w:right w:type="dxa" w:w="100"/>
            </w:tcMar>
          </w:tcPr>
          <w:p>
            <w:pPr>
              <w:spacing w:after="0" w:line="252"/>
            </w:pPr>
            <w:r>
              <w:rPr>
                <w:b/>
                <w:bCs/>
                <w:color w:val="FFFFFF"/>
                <w:sz w:val="20"/>
                <w:szCs w:val="20"/>
              </w:rPr>
              <w:t xml:space="preserve">Purpose</w:t>
            </w:r>
          </w:p>
        </w:tc>
      </w:tr>
      <w:tr>
        <w:tc>
          <w:tcPr>
            <w:tcW w:type="dxa" w:w="3200"/>
            <w:tcMar>
              <w:top w:type="dxa" w:w="60"/>
              <w:left w:type="dxa" w:w="100"/>
              <w:bottom w:type="dxa" w:w="60"/>
              <w:right w:type="dxa" w:w="100"/>
            </w:tcMar>
          </w:tcPr>
          <w:p>
            <w:pPr>
              <w:spacing w:after="0" w:line="252"/>
            </w:pPr>
            <w:r>
              <w:rPr>
                <w:b w:val="false"/>
                <w:bCs w:val="false"/>
                <w:sz w:val="20"/>
                <w:szCs w:val="20"/>
              </w:rPr>
              <w:t xml:space="preserve">Fee_Structure / Fee_Item</w:t>
            </w:r>
          </w:p>
        </w:tc>
        <w:tc>
          <w:tcPr>
            <w:tcW w:type="dxa" w:w="9000"/>
            <w:tcMar>
              <w:top w:type="dxa" w:w="60"/>
              <w:left w:type="dxa" w:w="100"/>
              <w:bottom w:type="dxa" w:w="60"/>
              <w:right w:type="dxa" w:w="100"/>
            </w:tcMar>
          </w:tcPr>
          <w:p>
            <w:pPr>
              <w:spacing w:after="0" w:line="252"/>
            </w:pPr>
            <w:r>
              <w:rPr>
                <w:b w:val="false"/>
                <w:bCs w:val="false"/>
                <w:sz w:val="20"/>
                <w:szCs w:val="20"/>
              </w:rPr>
              <w:t xml:space="preserve">Fee definitions and their line items.</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Invoice / Invoice_Item</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A student's invoice and its lines.</w:t>
            </w:r>
          </w:p>
        </w:tc>
      </w:tr>
      <w:tr>
        <w:tc>
          <w:tcPr>
            <w:tcW w:type="dxa" w:w="3200"/>
            <w:tcMar>
              <w:top w:type="dxa" w:w="60"/>
              <w:left w:type="dxa" w:w="100"/>
              <w:bottom w:type="dxa" w:w="60"/>
              <w:right w:type="dxa" w:w="100"/>
            </w:tcMar>
          </w:tcPr>
          <w:p>
            <w:pPr>
              <w:spacing w:after="0" w:line="252"/>
            </w:pPr>
            <w:r>
              <w:rPr>
                <w:b w:val="false"/>
                <w:bCs w:val="false"/>
                <w:sz w:val="20"/>
                <w:szCs w:val="20"/>
              </w:rPr>
              <w:t xml:space="preserve">Payment / Receipt</w:t>
            </w:r>
          </w:p>
        </w:tc>
        <w:tc>
          <w:tcPr>
            <w:tcW w:type="dxa" w:w="9000"/>
            <w:tcMar>
              <w:top w:type="dxa" w:w="60"/>
              <w:left w:type="dxa" w:w="100"/>
              <w:bottom w:type="dxa" w:w="60"/>
              <w:right w:type="dxa" w:w="100"/>
            </w:tcMar>
          </w:tcPr>
          <w:p>
            <w:pPr>
              <w:spacing w:after="0" w:line="252"/>
            </w:pPr>
            <w:r>
              <w:rPr>
                <w:b w:val="false"/>
                <w:bCs w:val="false"/>
                <w:sz w:val="20"/>
                <w:szCs w:val="20"/>
              </w:rPr>
              <w:t xml:space="preserve">Payments (incl. Mobile Money) and issued receipts.</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Financial_Transaction</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Immutable ledger entry (charge/payment/void/reversal/discount).</w:t>
            </w:r>
          </w:p>
        </w:tc>
      </w:tr>
      <w:tr>
        <w:tc>
          <w:tcPr>
            <w:tcW w:type="dxa" w:w="3200"/>
            <w:tcMar>
              <w:top w:type="dxa" w:w="60"/>
              <w:left w:type="dxa" w:w="100"/>
              <w:bottom w:type="dxa" w:w="60"/>
              <w:right w:type="dxa" w:w="100"/>
            </w:tcMar>
          </w:tcPr>
          <w:p>
            <w:pPr>
              <w:spacing w:after="0" w:line="252"/>
            </w:pPr>
            <w:r>
              <w:rPr>
                <w:b w:val="false"/>
                <w:bCs w:val="false"/>
                <w:sz w:val="20"/>
                <w:szCs w:val="20"/>
              </w:rPr>
              <w:t xml:space="preserve">Discount / Scholarship</w:t>
            </w:r>
          </w:p>
        </w:tc>
        <w:tc>
          <w:tcPr>
            <w:tcW w:type="dxa" w:w="9000"/>
            <w:tcMar>
              <w:top w:type="dxa" w:w="60"/>
              <w:left w:type="dxa" w:w="100"/>
              <w:bottom w:type="dxa" w:w="60"/>
              <w:right w:type="dxa" w:w="100"/>
            </w:tcMar>
          </w:tcPr>
          <w:p>
            <w:pPr>
              <w:spacing w:after="0" w:line="252"/>
            </w:pPr>
            <w:r>
              <w:rPr>
                <w:b w:val="false"/>
                <w:bCs w:val="false"/>
                <w:sz w:val="20"/>
                <w:szCs w:val="20"/>
              </w:rPr>
              <w:t xml:space="preserve">Fee reductions and scholarship coverage.</w:t>
            </w:r>
          </w:p>
        </w:tc>
      </w:tr>
    </w:tbl>
    <w:p>
      <w:pPr>
        <w:spacing w:after="60"/>
      </w:pPr>
      <w:r>
        <w:t xml:space="preserve"/>
      </w:r>
    </w:p>
    <w:p>
      <w:pPr>
        <w:pStyle w:val="Heading2"/>
        <w:spacing w:after="90" w:before="200"/>
      </w:pPr>
      <w:r>
        <w:rPr>
          <w:b/>
          <w:bCs/>
          <w:color w:val="1879E2"/>
          <w:sz w:val="23"/>
          <w:szCs w:val="23"/>
        </w:rPr>
        <w:t xml:space="preserve">10.6 HR &amp; Payroll</w:t>
      </w:r>
    </w:p>
    <w:tbl>
      <w:tblPr>
        <w:tblW w:type="dxa" w:w="12200"/>
        <w:tblBorders>
          <w:top w:val="single" w:color="B8C4D9" w:sz="4"/>
          <w:left w:val="single" w:color="B8C4D9" w:sz="4"/>
          <w:bottom w:val="single" w:color="B8C4D9" w:sz="4"/>
          <w:right w:val="single" w:color="B8C4D9" w:sz="4"/>
          <w:insideH w:val="single" w:color="B8C4D9" w:sz="4"/>
          <w:insideV w:val="single" w:color="B8C4D9" w:sz="4"/>
        </w:tblBorders>
      </w:tblPr>
      <w:tblGrid>
        <w:gridCol w:w="3200"/>
        <w:gridCol w:w="9000"/>
      </w:tblGrid>
      <w:tr>
        <w:trPr>
          <w:tblHeader/>
        </w:trPr>
        <w:tc>
          <w:tcPr>
            <w:tcW w:type="dxa" w:w="3200"/>
            <w:shd w:fill="1A1B4A" w:color="auto" w:val="clear"/>
            <w:tcMar>
              <w:top w:type="dxa" w:w="60"/>
              <w:left w:type="dxa" w:w="100"/>
              <w:bottom w:type="dxa" w:w="60"/>
              <w:right w:type="dxa" w:w="100"/>
            </w:tcMar>
          </w:tcPr>
          <w:p>
            <w:pPr>
              <w:spacing w:after="0" w:line="252"/>
            </w:pPr>
            <w:r>
              <w:rPr>
                <w:b/>
                <w:bCs/>
                <w:color w:val="FFFFFF"/>
                <w:sz w:val="20"/>
                <w:szCs w:val="20"/>
              </w:rPr>
              <w:t xml:space="preserve">Entity</w:t>
            </w:r>
          </w:p>
        </w:tc>
        <w:tc>
          <w:tcPr>
            <w:tcW w:type="dxa" w:w="9000"/>
            <w:shd w:fill="1A1B4A" w:color="auto" w:val="clear"/>
            <w:tcMar>
              <w:top w:type="dxa" w:w="60"/>
              <w:left w:type="dxa" w:w="100"/>
              <w:bottom w:type="dxa" w:w="60"/>
              <w:right w:type="dxa" w:w="100"/>
            </w:tcMar>
          </w:tcPr>
          <w:p>
            <w:pPr>
              <w:spacing w:after="0" w:line="252"/>
            </w:pPr>
            <w:r>
              <w:rPr>
                <w:b/>
                <w:bCs/>
                <w:color w:val="FFFFFF"/>
                <w:sz w:val="20"/>
                <w:szCs w:val="20"/>
              </w:rPr>
              <w:t xml:space="preserve">Purpose</w:t>
            </w:r>
          </w:p>
        </w:tc>
      </w:tr>
      <w:tr>
        <w:tc>
          <w:tcPr>
            <w:tcW w:type="dxa" w:w="3200"/>
            <w:tcMar>
              <w:top w:type="dxa" w:w="60"/>
              <w:left w:type="dxa" w:w="100"/>
              <w:bottom w:type="dxa" w:w="60"/>
              <w:right w:type="dxa" w:w="100"/>
            </w:tcMar>
          </w:tcPr>
          <w:p>
            <w:pPr>
              <w:spacing w:after="0" w:line="252"/>
            </w:pPr>
            <w:r>
              <w:rPr>
                <w:b w:val="false"/>
                <w:bCs w:val="false"/>
                <w:sz w:val="20"/>
                <w:szCs w:val="20"/>
              </w:rPr>
              <w:t xml:space="preserve">Leave_Type / Leave_Request / Approval</w:t>
            </w:r>
          </w:p>
        </w:tc>
        <w:tc>
          <w:tcPr>
            <w:tcW w:type="dxa" w:w="9000"/>
            <w:tcMar>
              <w:top w:type="dxa" w:w="60"/>
              <w:left w:type="dxa" w:w="100"/>
              <w:bottom w:type="dxa" w:w="60"/>
              <w:right w:type="dxa" w:w="100"/>
            </w:tcMar>
          </w:tcPr>
          <w:p>
            <w:pPr>
              <w:spacing w:after="0" w:line="252"/>
            </w:pPr>
            <w:r>
              <w:rPr>
                <w:b w:val="false"/>
                <w:bCs w:val="false"/>
                <w:sz w:val="20"/>
                <w:szCs w:val="20"/>
              </w:rPr>
              <w:t xml:space="preserve">Leave configuration, requests and approvals.</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Staff_Attendance / Staff_Performance</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Staff attendance and performance records.</w:t>
            </w:r>
          </w:p>
        </w:tc>
      </w:tr>
      <w:tr>
        <w:tc>
          <w:tcPr>
            <w:tcW w:type="dxa" w:w="3200"/>
            <w:tcMar>
              <w:top w:type="dxa" w:w="60"/>
              <w:left w:type="dxa" w:w="100"/>
              <w:bottom w:type="dxa" w:w="60"/>
              <w:right w:type="dxa" w:w="100"/>
            </w:tcMar>
          </w:tcPr>
          <w:p>
            <w:pPr>
              <w:spacing w:after="0" w:line="252"/>
            </w:pPr>
            <w:r>
              <w:rPr>
                <w:b w:val="false"/>
                <w:bCs w:val="false"/>
                <w:sz w:val="20"/>
                <w:szCs w:val="20"/>
              </w:rPr>
              <w:t xml:space="preserve">Salary_Structure</w:t>
            </w:r>
          </w:p>
        </w:tc>
        <w:tc>
          <w:tcPr>
            <w:tcW w:type="dxa" w:w="9000"/>
            <w:tcMar>
              <w:top w:type="dxa" w:w="60"/>
              <w:left w:type="dxa" w:w="100"/>
              <w:bottom w:type="dxa" w:w="60"/>
              <w:right w:type="dxa" w:w="100"/>
            </w:tcMar>
          </w:tcPr>
          <w:p>
            <w:pPr>
              <w:spacing w:after="0" w:line="252"/>
            </w:pPr>
            <w:r>
              <w:rPr>
                <w:b w:val="false"/>
                <w:bCs w:val="false"/>
                <w:sz w:val="20"/>
                <w:szCs w:val="20"/>
              </w:rPr>
              <w:t xml:space="preserve">Salary basis per staff type.</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Payroll_Run / Payroll_Item</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A payroll cycle and its per-staff items.</w:t>
            </w:r>
          </w:p>
        </w:tc>
      </w:tr>
      <w:tr>
        <w:tc>
          <w:tcPr>
            <w:tcW w:type="dxa" w:w="3200"/>
            <w:tcMar>
              <w:top w:type="dxa" w:w="60"/>
              <w:left w:type="dxa" w:w="100"/>
              <w:bottom w:type="dxa" w:w="60"/>
              <w:right w:type="dxa" w:w="100"/>
            </w:tcMar>
          </w:tcPr>
          <w:p>
            <w:pPr>
              <w:spacing w:after="0" w:line="252"/>
            </w:pPr>
            <w:r>
              <w:rPr>
                <w:b w:val="false"/>
                <w:bCs w:val="false"/>
                <w:sz w:val="20"/>
                <w:szCs w:val="20"/>
              </w:rPr>
              <w:t xml:space="preserve">Deduction / Bonus / Payslip</w:t>
            </w:r>
          </w:p>
        </w:tc>
        <w:tc>
          <w:tcPr>
            <w:tcW w:type="dxa" w:w="9000"/>
            <w:tcMar>
              <w:top w:type="dxa" w:w="60"/>
              <w:left w:type="dxa" w:w="100"/>
              <w:bottom w:type="dxa" w:w="60"/>
              <w:right w:type="dxa" w:w="100"/>
            </w:tcMar>
          </w:tcPr>
          <w:p>
            <w:pPr>
              <w:spacing w:after="0" w:line="252"/>
            </w:pPr>
            <w:r>
              <w:rPr>
                <w:b w:val="false"/>
                <w:bCs w:val="false"/>
                <w:sz w:val="20"/>
                <w:szCs w:val="20"/>
              </w:rPr>
              <w:t xml:space="preserve">Payroll item deductions, bonuses and generated payslips.</w:t>
            </w:r>
          </w:p>
        </w:tc>
      </w:tr>
    </w:tbl>
    <w:p>
      <w:pPr>
        <w:spacing w:after="60"/>
      </w:pPr>
      <w:r>
        <w:t xml:space="preserve"/>
      </w:r>
    </w:p>
    <w:p>
      <w:pPr>
        <w:pStyle w:val="Heading2"/>
        <w:spacing w:after="90" w:before="200"/>
      </w:pPr>
      <w:r>
        <w:rPr>
          <w:b/>
          <w:bCs/>
          <w:color w:val="1879E2"/>
          <w:sz w:val="23"/>
          <w:szCs w:val="23"/>
        </w:rPr>
        <w:t xml:space="preserve">10.7 Communication &amp; Notifications</w:t>
      </w:r>
    </w:p>
    <w:tbl>
      <w:tblPr>
        <w:tblW w:type="dxa" w:w="12200"/>
        <w:tblBorders>
          <w:top w:val="single" w:color="B8C4D9" w:sz="4"/>
          <w:left w:val="single" w:color="B8C4D9" w:sz="4"/>
          <w:bottom w:val="single" w:color="B8C4D9" w:sz="4"/>
          <w:right w:val="single" w:color="B8C4D9" w:sz="4"/>
          <w:insideH w:val="single" w:color="B8C4D9" w:sz="4"/>
          <w:insideV w:val="single" w:color="B8C4D9" w:sz="4"/>
        </w:tblBorders>
      </w:tblPr>
      <w:tblGrid>
        <w:gridCol w:w="3200"/>
        <w:gridCol w:w="9000"/>
      </w:tblGrid>
      <w:tr>
        <w:trPr>
          <w:tblHeader/>
        </w:trPr>
        <w:tc>
          <w:tcPr>
            <w:tcW w:type="dxa" w:w="3200"/>
            <w:shd w:fill="1A1B4A" w:color="auto" w:val="clear"/>
            <w:tcMar>
              <w:top w:type="dxa" w:w="60"/>
              <w:left w:type="dxa" w:w="100"/>
              <w:bottom w:type="dxa" w:w="60"/>
              <w:right w:type="dxa" w:w="100"/>
            </w:tcMar>
          </w:tcPr>
          <w:p>
            <w:pPr>
              <w:spacing w:after="0" w:line="252"/>
            </w:pPr>
            <w:r>
              <w:rPr>
                <w:b/>
                <w:bCs/>
                <w:color w:val="FFFFFF"/>
                <w:sz w:val="20"/>
                <w:szCs w:val="20"/>
              </w:rPr>
              <w:t xml:space="preserve">Entity</w:t>
            </w:r>
          </w:p>
        </w:tc>
        <w:tc>
          <w:tcPr>
            <w:tcW w:type="dxa" w:w="9000"/>
            <w:shd w:fill="1A1B4A" w:color="auto" w:val="clear"/>
            <w:tcMar>
              <w:top w:type="dxa" w:w="60"/>
              <w:left w:type="dxa" w:w="100"/>
              <w:bottom w:type="dxa" w:w="60"/>
              <w:right w:type="dxa" w:w="100"/>
            </w:tcMar>
          </w:tcPr>
          <w:p>
            <w:pPr>
              <w:spacing w:after="0" w:line="252"/>
            </w:pPr>
            <w:r>
              <w:rPr>
                <w:b/>
                <w:bCs/>
                <w:color w:val="FFFFFF"/>
                <w:sz w:val="20"/>
                <w:szCs w:val="20"/>
              </w:rPr>
              <w:t xml:space="preserve">Purpose</w:t>
            </w:r>
          </w:p>
        </w:tc>
      </w:tr>
      <w:tr>
        <w:tc>
          <w:tcPr>
            <w:tcW w:type="dxa" w:w="3200"/>
            <w:tcMar>
              <w:top w:type="dxa" w:w="60"/>
              <w:left w:type="dxa" w:w="100"/>
              <w:bottom w:type="dxa" w:w="60"/>
              <w:right w:type="dxa" w:w="100"/>
            </w:tcMar>
          </w:tcPr>
          <w:p>
            <w:pPr>
              <w:spacing w:after="0" w:line="252"/>
            </w:pPr>
            <w:r>
              <w:rPr>
                <w:b w:val="false"/>
                <w:bCs w:val="false"/>
                <w:sz w:val="20"/>
                <w:szCs w:val="20"/>
              </w:rPr>
              <w:t xml:space="preserve">Conversation / Communication_Participant / Message</w:t>
            </w:r>
          </w:p>
        </w:tc>
        <w:tc>
          <w:tcPr>
            <w:tcW w:type="dxa" w:w="9000"/>
            <w:tcMar>
              <w:top w:type="dxa" w:w="60"/>
              <w:left w:type="dxa" w:w="100"/>
              <w:bottom w:type="dxa" w:w="60"/>
              <w:right w:type="dxa" w:w="100"/>
            </w:tcMar>
          </w:tcPr>
          <w:p>
            <w:pPr>
              <w:spacing w:after="0" w:line="252"/>
            </w:pPr>
            <w:r>
              <w:rPr>
                <w:b w:val="false"/>
                <w:bCs w:val="false"/>
                <w:sz w:val="20"/>
                <w:szCs w:val="20"/>
              </w:rPr>
              <w:t xml:space="preserve">Threads, their participants and messages.</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Announcement</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Broadcast announcements to an audience.</w:t>
            </w:r>
          </w:p>
        </w:tc>
      </w:tr>
      <w:tr>
        <w:tc>
          <w:tcPr>
            <w:tcW w:type="dxa" w:w="3200"/>
            <w:tcMar>
              <w:top w:type="dxa" w:w="60"/>
              <w:left w:type="dxa" w:w="100"/>
              <w:bottom w:type="dxa" w:w="60"/>
              <w:right w:type="dxa" w:w="100"/>
            </w:tcMar>
          </w:tcPr>
          <w:p>
            <w:pPr>
              <w:spacing w:after="0" w:line="252"/>
            </w:pPr>
            <w:r>
              <w:rPr>
                <w:b w:val="false"/>
                <w:bCs w:val="false"/>
                <w:sz w:val="20"/>
                <w:szCs w:val="20"/>
              </w:rPr>
              <w:t xml:space="preserve">Communication_Rule</w:t>
            </w:r>
          </w:p>
        </w:tc>
        <w:tc>
          <w:tcPr>
            <w:tcW w:type="dxa" w:w="9000"/>
            <w:tcMar>
              <w:top w:type="dxa" w:w="60"/>
              <w:left w:type="dxa" w:w="100"/>
              <w:bottom w:type="dxa" w:w="60"/>
              <w:right w:type="dxa" w:w="100"/>
            </w:tcMar>
          </w:tcPr>
          <w:p>
            <w:pPr>
              <w:spacing w:after="0" w:line="252"/>
            </w:pPr>
            <w:r>
              <w:rPr>
                <w:b w:val="false"/>
                <w:bCs w:val="false"/>
                <w:sz w:val="20"/>
                <w:szCs w:val="20"/>
              </w:rPr>
              <w:t xml:space="preserve">Backend-enforced messaging firewall rules.</w:t>
            </w:r>
          </w:p>
        </w:tc>
      </w:tr>
      <w:tr>
        <w:tc>
          <w:tcPr>
            <w:tcW w:type="dxa" w:w="3200"/>
            <w:shd w:fill="EEF2F8" w:color="auto" w:val="clear"/>
            <w:tcMar>
              <w:top w:type="dxa" w:w="60"/>
              <w:left w:type="dxa" w:w="100"/>
              <w:bottom w:type="dxa" w:w="60"/>
              <w:right w:type="dxa" w:w="100"/>
            </w:tcMar>
          </w:tcPr>
          <w:p>
            <w:pPr>
              <w:spacing w:after="0" w:line="252"/>
            </w:pPr>
            <w:r>
              <w:rPr>
                <w:b w:val="false"/>
                <w:bCs w:val="false"/>
                <w:sz w:val="20"/>
                <w:szCs w:val="20"/>
              </w:rPr>
              <w:t xml:space="preserve">Notification / Notification_Delivery</w:t>
            </w:r>
          </w:p>
        </w:tc>
        <w:tc>
          <w:tcPr>
            <w:tcW w:type="dxa" w:w="9000"/>
            <w:shd w:fill="EEF2F8" w:color="auto" w:val="clear"/>
            <w:tcMar>
              <w:top w:type="dxa" w:w="60"/>
              <w:left w:type="dxa" w:w="100"/>
              <w:bottom w:type="dxa" w:w="60"/>
              <w:right w:type="dxa" w:w="100"/>
            </w:tcMar>
          </w:tcPr>
          <w:p>
            <w:pPr>
              <w:spacing w:after="0" w:line="252"/>
            </w:pPr>
            <w:r>
              <w:rPr>
                <w:b w:val="false"/>
                <w:bCs w:val="false"/>
                <w:sz w:val="20"/>
                <w:szCs w:val="20"/>
              </w:rPr>
              <w:t xml:space="preserve">Notifications and their multi-channel delivery.</w:t>
            </w:r>
          </w:p>
        </w:tc>
      </w:tr>
    </w:tbl>
    <w:p>
      <w:pPr>
        <w:spacing w:after="60"/>
      </w:pPr>
      <w:r>
        <w:t xml:space="preserve"/>
      </w:r>
    </w:p>
    <w:p>
      <w:pPr>
        <w:spacing w:before="200"/>
        <w:jc w:val="center"/>
      </w:pPr>
      <w:r>
        <w:rPr>
          <w:i/>
          <w:iCs/>
          <w:color w:val="555555"/>
          <w:sz w:val="20"/>
          <w:szCs w:val="20"/>
        </w:rPr>
        <w:t xml:space="preserve">— End of YESE Data Model (ERDs &amp; Data Dictionary), Version 1.0 —</w:t>
      </w:r>
    </w:p>
    <w:sectPr>
      <w:headerReference w:type="default" r:id="rId9"/>
      <w:footerReference w:type="default" r:id="rId10"/>
      <w:pgSz w:w="16838" w:h="11906" w:orient="landscape"/>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9" w:sz="4" w:space="4"/>
      </w:pBdr>
      <w:jc w:val="center"/>
    </w:pPr>
    <w:r>
      <w:rPr>
        <w:color w:val="888888"/>
        <w:sz w:val="16"/>
        <w:szCs w:val="16"/>
      </w:rPr>
      <w:t xml:space="preserve">OpenTek — Confidential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9" w:sz="4" w:space="4"/>
      </w:pBdr>
      <w:jc w:val="center"/>
    </w:pPr>
    <w:r>
      <w:rPr>
        <w:color w:val="888888"/>
        <w:sz w:val="16"/>
        <w:szCs w:val="16"/>
      </w:rPr>
      <w:t xml:space="preserve">OpenTek — Confidential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9" w:sz="4" w:space="4"/>
      </w:pBdr>
      <w:jc w:val="right"/>
    </w:pPr>
    <w:r>
      <w:rPr>
        <w:color w:val="888888"/>
        <w:sz w:val="16"/>
        <w:szCs w:val="16"/>
      </w:rPr>
      <w:t xml:space="preserve">YESE (OpenTek SEMS-ERP) — Data Model &amp; ERDs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9" w:sz="4" w:space="4"/>
      </w:pBdr>
      <w:jc w:val="right"/>
    </w:pPr>
    <w:r>
      <w:rPr>
        <w:color w:val="888888"/>
        <w:sz w:val="16"/>
        <w:szCs w:val="16"/>
      </w:rPr>
      <w:t xml:space="preserve">YESE (OpenTek SEMS-ERP) — Data Model &amp; ERDs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dfbe04a1e5b5003b6f4be5d9345d1aec3621be1.png"/><Relationship Id="rId12" Type="http://schemas.openxmlformats.org/officeDocument/2006/relationships/image" Target="media/e11590686751f573b49ba881548711d704165e26.png"/><Relationship Id="rId13" Type="http://schemas.openxmlformats.org/officeDocument/2006/relationships/image" Target="media/b2293b649553f8d4afd3072bdd02ae3f74979443.png"/><Relationship Id="rId14" Type="http://schemas.openxmlformats.org/officeDocument/2006/relationships/image" Target="media/22dc22c2d431fd228869b44ac128ed87b832e0c7.png"/><Relationship Id="rId15" Type="http://schemas.openxmlformats.org/officeDocument/2006/relationships/image" Target="media/2c2393bb0263c46837728210fcc512f92e60d2b9.png"/><Relationship Id="rId16" Type="http://schemas.openxmlformats.org/officeDocument/2006/relationships/image" Target="media/e49f6dd3389439a6aff3cbc7423b31c720e521ce.png"/><Relationship Id="rId17" Type="http://schemas.openxmlformats.org/officeDocument/2006/relationships/image" Target="media/a87f5a28c3bbcf15bbb42dffd3409245db27e8d5.png"/><Relationship Id="rId18" Type="http://schemas.openxmlformats.org/officeDocument/2006/relationships/image" Target="media/c6f1ca71ece24e898e65d5a9d0b5478a4a9e07d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YESE — ERDs &amp; Data Dictionary</dc:title>
  <dc:creator>OpenTek</dc:creator>
  <cp:lastModifiedBy>Un-named</cp:lastModifiedBy>
  <cp:revision>1</cp:revision>
  <dcterms:created xsi:type="dcterms:W3CDTF">2026-09-29T15:40:47.600Z</dcterms:created>
  <dcterms:modified xsi:type="dcterms:W3CDTF">2026-09-29T15:40:47.603Z</dcterms:modified>
</cp:coreProperties>
</file>

<file path=docProps/custom.xml><?xml version="1.0" encoding="utf-8"?>
<Properties xmlns="http://schemas.openxmlformats.org/officeDocument/2006/custom-properties" xmlns:vt="http://schemas.openxmlformats.org/officeDocument/2006/docPropsVTypes"/>
</file>