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295 (65.6)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(48.3)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(41.3)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207 (46.0)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(36.3)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270 (60.0)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283 (94.3)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(96.0)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 (94.9)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treatment exposure (patient-years)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TEAE events (n)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2,761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Exposure-adjusted TEAE rate (events per 100 patient-years)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586.2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621.4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597.6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Exposure-adjusted TEAE rate = TEAE events / total treatment exposure × 100, where exposure (patient-years) = ADSL.TRTDURD (TRTEDT − TRTSDT + 1) summed across the safety population and divided by 365.25. Numerator counts events, not subjects, so a subject with multiple events contributes more than once (SAP §5.5; estimand S2).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2026-09-20T20:48:39Z</dcterms:modified>
  <cp:category/>
</cp:coreProperties>
</file>