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T-AE-02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Treatment-Emergent AEs by SOC and Preferred Term (≥ 5% in any arm)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760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Any treatment-emergent AE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251 (83.7)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125 (83.3)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(45.3)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(47.3)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(42.3)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(44.0)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39 (13.0)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(7.0)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264 (88.0)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132 (88.0)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(54.3)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(65.3)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(28.0)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(24.7)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(24.7)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(8.3)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134 (44.7)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71 (47.3)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(26.7)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84 (28.0)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43 (28.7)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(28.0)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66 (22.0)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35 (23.3)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82 (27.3)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39 (26.0)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148 (49.3)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77 (51.3)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(43.7)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(50.0)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Pruritus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(7.0)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Includes Preferred Terms with incidence ≥ 5% in either arm.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SOC subtotals = distinct subjects with at least one PT in that SOC.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'Any treatment-emergent AE' counts distinct subjects with &gt;= 1 TEAE and is not restricted by the &gt;= 5% Preferred Term filter.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Within SOC, PTs sorted by maximum incidence across arms (descending).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datasets/adam/adae.parquet WHERE SAFFL='Y' AND TRTEMFL='Y'; datasets/adam/adsl.parquet WHERE SAFFL='Y' (denominators).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2026-09-20T20:48:39Z</dcterms:modified>
  <cp:category/>
</cp:coreProperties>
</file>