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608"/>
        <w:gridCol w:w="1824"/>
        <w:gridCol w:w="1824"/>
        <w:gridCol w:w="182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randomised (ITT)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treated (Safety population)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274 (91.3)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412 (91.6)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Completed treatment per protocol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(26.3)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(22.4)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Discontinued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221 (73.7)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(85.3)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349 (77.6)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Progressive disease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(63.3)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235 (52.2)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(16.7)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(13.3)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(15.6)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Withdrawal by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Physician decision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Vital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Died on study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(59.7)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(77.3)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295 (65.6)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ITT N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Discontinuation categories from ADDS.DSCATGY + ADDS.DSDECOD.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discontinuation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datasets/adam/adds.parquet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2026-09-20T20:48:32Z</dcterms:modified>
  <cp:category/>
</cp:coreProperties>
</file>