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  |  Data cutoff: 2025-01-31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1F3864"/>
        </w:rPr>
        <w:t xml:space="preserve">T-DS-02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1F3864"/>
        </w:rPr>
        <w:t xml:space="preserve">Major Protocol Deviations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ITT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5040"/>
        <w:gridCol w:w="1680"/>
        <w:gridCol w:w="1680"/>
        <w:gridCol w:w="1680"/>
      </w:tblGrid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Torivumab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Placebo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(N=150)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Total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(N=450)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Subjects with ≥ 1 major deviation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(44.0)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(38.7)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 (42.2)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Deviation category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Randomised but never dosed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Eligibility criteria violated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Prohibited concomitant medication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≥ 2 consecutive missed tumour assessments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Other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Major deviation = ADDV record with DVCAT='MAJOR'.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Synthetic-data note: the simulator does not generate SDTM.DV / DS protocol-deviation records beyond the single randomised-never-dosed subject. Real studies populate the remaining subcategories from the database-lock deviation review.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 subject may appear in only one category.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Source: datasets/adam/addv.parquet.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1080" w:top="1080" w:right="1152" w:left="1152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2026-09-20T20:48:32Z</dcterms:modified>
  <cp:category/>
</cp:coreProperties>
</file>