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  |  Data cutoff: 2025-01-31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1F3864"/>
        </w:rPr>
        <w:t xml:space="preserve">T-EFF-01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4"/>
          <w:szCs w:val="24"/>
          <w:color w:val="1F3864"/>
        </w:rPr>
        <w:t xml:space="preserve">Overall Survival Analysis (Primary)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ITT Population (N=450)</w:t>
      </w:r>
    </w:p>
    <w:p>
      <w:pPr>
        <w:pStyle w:val="Normal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4320"/>
        <w:gridCol w:w="2880"/>
        <w:gridCol w:w="2880"/>
      </w:tblGrid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 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Torivumab + Chemotherapy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(N=300)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Placebo + Chemotherapy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(N=150)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Number of subjects, N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300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Events (deaths), n (%)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179 (59.7)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 (77.3)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Censored, n (%)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121 (40.3)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(22.7)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OS, months (95% CI)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20.0 (18.1, 22.4)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15.5 (13.1, 17.5)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Hazard ratio (95% CI), stratified Cox PH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0.626 (0.495, 0.793)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666666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p-value, stratified log-rank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Median OS estimated by Kaplan-Meier; 95% CI by Brookmeyer-Crowley (log-log).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Hazard ratio from stratified Cox proportional-hazards model.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Stratification factors: histology (squamous / non-squamous) and region (NA / EU / APAC / OTHER).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Primary estimand (E1): treatment policy for all intercurrent events. See SAP §13.4.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Source: datasets/adam/adtte.parquet WHERE PARAMCD='OS'.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sectPr>
      <w:pgMar w:header="708" w:bottom="1080" w:top="1080" w:right="1152" w:left="1152" w:footer="708" w:gutter="0"/>
      <w:pgSz w:h="16834" w:w="11909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2026-09-20T20:48:30Z</dcterms:modified>
  <cp:category/>
</cp:coreProperties>
</file>