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(N=444)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(N=295)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(11.4)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(48.1)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(10.8)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(35.6)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(30.1, 41.3)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(7.3, 18.4)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(stratified MH, 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23.2 (15.7, 30.8)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Risk difference is the Mantel-Haenszel weighted difference in proportions across histology × region strata, with Greenland-Robins 95% CI. Strata containing no subjects in one arm carry no information about the difference and are excluded.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 The CMH procedure tests a common odds ratio; the effect estimate reported above is the risk difference, per SAP §13.6.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2026-09-20T20:48:34Z</dcterms:modified>
  <cp:category/>
</cp:coreProperties>
</file>