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1872"/>
        <w:gridCol w:w="1872"/>
        <w:gridCol w:w="187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Landmark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Difference TRT − PBO (95% CI)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months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(79.9, 88.2)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90.0% (83.9, 93.8)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-5.4 (-11.8, 0.9)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73.0% (67.6, 77.7)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63.1% (54.8, 70.3)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9.9 (0.6, 19.1)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56.3% (50.3, 61.7)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38.8% (30.8, 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 (7.7, 27.3)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months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38.9% (32.8, 44.9)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19.4% (12.9, 27.0)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 (10.1, 28.8)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months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29.4% (22.7, 36.4)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14.7% (8.8, 22.1)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14.6 (5.0, 24.3)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at fixed landmark months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on the difference via Greenwood SE (sum of arm-specific SEs).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Two-sided p-value: z = diff / SE_diff.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sensitivity.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2026-09-20T20:48:36Z</dcterms:modified>
  <cp:category/>
</cp:coreProperties>
</file>