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T-EFF-13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Objective Response Rate — ITT Denominator (Sensitivity)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472"/>
        <w:gridCol w:w="2304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Subjects in ITT population, 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Responders (confirmed CR/PR),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105 (35.0)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18 (12.0)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Non-responders (incl. no post-baseline assessment),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(65.0)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(88.0)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Of which: no post-baseline assessment (composite IE), 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difference TRT − PBO, % (95% CI Wald)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23.0 (15.5, 30.5)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 (Cochran-Mantel-Haenszel, stratified)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 CI per arm (Clopper-Pearson)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(29.6, 40.7)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(7.3, 18.3)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Estimand E3a (SAP §13.6) — uses full ITT as denominator (removes implicit selection in Response Evaluable).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Composite IE strategy retained: subjects without any post-baseline tumour assessment are counted as non-responders.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In this dataset, 0 subjects have no post-baseline assessment.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Per-arm 95% CI by Clopper-Pearson; stratified CMH test (histology × region).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datasets/adam/adsl.parquet (ITT) + adrs.parquet (CBOR).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2026-09-20T20:48:37Z</dcterms:modified>
  <cp:category/>
</cp:coreProperties>
</file>