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T-EX-01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Study Drug Exposure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Treatment duration (days)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381.3 (229.5)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362.5 (199.1)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375.0 (219.8)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400 (1, 738)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348 (1, 739)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380 (1, 739)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Number of study drug cycles received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(1.0)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5.6 (1.1)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(1, 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Cumulative torivumab dose (mg)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1092 (233)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1092 (233)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1200 (200, 1200)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Relative dose intensity (%) — study drug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98.4 (2.5)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 (88.3, 100.0)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 (0.0, 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Treatment duration = ADSL.TRTDURD (TRTEDT − TRTSDT + 1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Cycle count = number of TORIVUMAB or PLACEBO records in ADEX PARAMCD='DOSEAMT'.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Cumulative torivumab dose = ADEX PARAMCD='CUMDOSE', AEXTRT='TORIVUMAB' (mg).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Relative dose intensity (RDI) = ADEX PARAMCD='RDI' = 100 × actual cumulative / planned cumulative dose. Planned per cycle: torivumab/placebo 200 mg; chemo per-subject mean used as planned (synthetic-data simplification).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datasets/adam/adex.parquet + datasets/adam/adsl.parquet.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2026-09-20T20:48:33Z</dcterms:modified>
  <cp:category/>
</cp:coreProperties>
</file>