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T-VS-02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Weight Change Categories — Worst On-Treatment Percent Change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with ≥1 post-baseline weight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Weight change category (worst on-treatment)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Loss ≥ 20%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Loss 10% to 20%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Loss 5% to 10%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significant change (±5%)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(57.7)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(76.0)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Gain 5% to 10%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Gain 10% to 20%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Gain ≥ 20%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Categories applied to per-subject worst (most extreme) post-baseline % change in weight.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Denominators = subjects with at least one post-baseline weight measurement per arm.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datasets/adam/advs.parquet WHERE PARAMCD='WEIGHT'.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2026-09-20T20:49:41Z</dcterms:modified>
  <cp:category/>
</cp:coreProperties>
</file>