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Immune-Related Adverse Events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 = ADAE.IRAEFL='Y' (derived from SDTM.AE.AECAT='IMMUNE-RELATED').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here corresponds to SOC; refinement to dedicated irAE categories (e.g. pneumonitis / colitis / hepatitis / thyroiditis) would require a sponsor-defined IRAECAT codelist that is not yet derived in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IRAEFL='Y'.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2026-05-16T22:47:52Z</dcterms:modified>
  <cp:category/>
</cp:coreProperties>
</file>