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Subject Disposition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608"/>
        <w:gridCol w:w="1824"/>
        <w:gridCol w:w="1824"/>
        <w:gridCol w:w="1824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randomised (ITT)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450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treated (Safety population)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449 (99.8)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Per-Protocol population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449 (99.8)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Treatment status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Completed treatment per protocol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(16.4)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(19.8)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Discontinued treatment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173 (76.9)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(83.6)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361 (80.2)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Progressive disease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 (49.3)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140 (62.2)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251 (55.8)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(15.8)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Withdrawal by subject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(2.0)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Physician decision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Vital status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Died on study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(61.3)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174 (77.3)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312 (69.3)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Percentages based on ITT N per arm.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Discontinuation reasons from SDTM.DS (DSDECOD).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 subject may appear in only one discontinuation category (first reason).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datasets/adam/adsl.parquet, datasets/sdtm/ds.parquet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2026-05-16T22:47:48Z</dcterms:modified>
  <cp:category/>
</cp:coreProperties>
</file>