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040"/>
        <w:gridCol w:w="1680"/>
        <w:gridCol w:w="1680"/>
        <w:gridCol w:w="16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with ≥ 1 major deviation (PPROTFL = N)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Deviation category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Randomised but never dosed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Eligibility criteria violated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Prohibited concomitant medication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≥ 2 consecutive missed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Major deviation = PPROTFL = N (ADSL).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Subcategories beyond 'randomised but never dosed' are not populated in this synthetic dataset — the simulator does not generate SDTM.DS records with DSCAT='PROTOCOL DEVIATION'. In a real study these counts would come from a database-lock deviation review.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appear in only one category (most serious deviation reported).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 (PPROTFL, SAFFL flags)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2026-05-16T22:47:48Z</dcterms:modified>
  <cp:category/>
</cp:coreProperties>
</file>