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Overall Survival Analysis (Primary)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Events (deaths),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(61.3)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173 (77.2)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OS,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21.4 (19.2, 23.7)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14.8 (12.9, 16.0)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0.576 (0.458, 0.724)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OS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(squamous / non-squamous)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(E1): treatment policy for all intercurrent events. See SAP §13.4.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2026-05-16T22:47:47Z</dcterms:modified>
  <cp:category/>
</cp:coreProperties>
</file>