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3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86.0% (80.7, 89.9)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79.8% (73.9, 84.5)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76.1% (69.8, 81.2)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54.1% (47.3, 60.5)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55.6% (48.6, 62.1)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30.2% (24.2, 36.5)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31.7% (25.1, 38.4)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9.1% (5.5, 13.8)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12.9% (7.8, 19.3)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1.9% (0.4, 5.7)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T-EFF-03 (primary PFS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2026-05-16T22:47:49Z</dcterms:modified>
  <cp:category/>
</cp:coreProperties>
</file>