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(Investigator-Assessed)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Confirmed Best Overall Response (CBOR)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Objective Response Rate (CR + 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86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32 (15.1)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(32.6, 45.9)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(10.6, 20.6)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24.0 (15.9, 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Response Evaluable = ITT with ≥1 post-baseline tumour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Best Overall Response (CBOR) per RECIST 1.1 — confirmation requires a second CR/PR ≥28 days after the first with no intervening PD.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for ORR by Clopper-Pearson exact method.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 test: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§13.6 specifies BICR-assessed response; this study simulates only Investigator-assessed RS records.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2026-05-16T22:47:49Z</dcterms:modified>
  <cp:category/>
</cp:coreProperties>
</file>