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(N=118)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(N=86)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(59.3)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17.9 (13.2, 19.0)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12.8 (9.3, 14.4)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89.9% (80.9, 94.8)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83.9% (65.5, 92.9)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70.1% (58.1, 79.3)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(37.2, 72.2)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44.3% (31.3, 56.6)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21.7% (7.8, 40.0)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2026-05-16T22:47:49Z</dcterms:modified>
  <cp:category/>
</cp:coreProperties>
</file>