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— While-on-Treatment Sensitivity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 (ITT),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 on/within 30d of last dose),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160 (71.4)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alive at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 — lost before TRTEDT + 30d,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OS-WOT,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19.3 (17.3, 21.4)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 (12.0, 15.0)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0.485 (0.380, 0.619)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E1b (SAP §13.4) — isolates the treatment-period effect from late off-treatment dilution.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Event = death on or within 30 days of last study treatment (TRTEDT + 30 days).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Censor = min(TRTEDT + 30 days, LSTALVDT).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§13.4 also specifies censoring at start of subsequent anti-cancer therapy; that variable is not simulated in this dataset, so only the TRTEDT + 30d component is applied.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PARAMCD='OSWOT'.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2026-05-16T22:47:50Z</dcterms:modified>
  <cp:category/>
</cp:coreProperties>
</file>