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T-EFF-13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Objective Response Rate — ITT Denominator (Sensitivity)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472"/>
        <w:gridCol w:w="2304"/>
        <w:gridCol w:w="2304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Subjects in ITT population,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Responders (confirmed CR/PR),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86 (38.2)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32 (14.2)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Non-responders (incl. no post-baseline assessment),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139 (61.8)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193 (85.8)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Of which: no post-baseline assessment (composite IE), 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Risk difference TRT − PBO, % (95% CI Wald)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24.0 (16.2, 31.8)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 (Cochran-Mantel-Haenszel, stratified)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95% CI per arm (Clopper-Pearson)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(31.8, 44.9)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(9.9, 19.5)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Estimand E3a (SAP §13.6) — uses full ITT as denominator (removes implicit selection in Response Evaluable).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Composite IE strategy retained: subjects without any post-baseline tumour assessment are counted as non-responders.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In this dataset, 0 subjects have no post-baseline assessment.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Per-arm 95% CI by Clopper-Pearson; stratified CMH test (histology × region).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datasets/adam/adsl.parquet (ITT) + adrs.parquet (CBOR).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2026-05-16T22:47:50Z</dcterms:modified>
  <cp:category/>
</cp:coreProperties>
</file>