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T-DM-01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Sex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Race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Not reported,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Region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ECOG PS at baseline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PD-L1 TPS group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50–74%,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75%,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prior lines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 (first-line),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Descriptive — Continuous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Descriptive: n (%) for categorical; n, mean (SD), median, min, max for continuous.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(n, mean, SD, median, 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n/mean/SD/median/min/max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 &lt; 65 / &gt;=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AGEGR1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 (Female/Male),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Ethnicity,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Histology category,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HISTSCAT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ECOG PS at baseline,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BECOG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PD-L1 TPS group,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PDL1GR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Screened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Screen failures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Randomised / ITT (N=450)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Discontinued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Withdrawal by subject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Death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Counts and percentages for each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/ ITT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EOSSTT='ONGOING'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EOSSTT='COMPLETED'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Discontinued (by reason)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EOSSTT='DISCONTINUED'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Subjects with ≥ 1 major deviation,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with ≥1 major deviation by category. Source: SDTM.DS where DSDECOD='PROTOCOL DEVIATION' AND DSSCAT='MAJOR'.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with &gt;= 1 major deviation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ADAE, ADTTE, SDTM.CM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experiencing each pre-specified IE. Supports reviewer judgement of whether the chosen IE handling strategies (§13.3) remain appropriate given observed IE frequencies.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 is not missing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DCSREAS='ADVERSE EVENT'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SDTM.CM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CMCAT='ANTI-CANCER' AND CMSTDTC &gt; 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 (requires SDTM.CM linkage; placeholder for ADCM if available)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scheduled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EVNTDESC contains 'missed'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flag derivable from PFS censoring reason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→ counted as ORR non-responder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 &lt; first_RSDT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for ORR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DCSREAS='WITHDRAWAL BY SUBJECT'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T-EX-01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Treatment duration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12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24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cycles received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Relative dose intensity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Continuous; 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Exposure summaries computed from ADSL (TRTDURD, N_CYCLES, CUMDOSE) — no separate ADEX dataset in scope.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(months) — median (min,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median/min/max (TRTDURD/30.4375)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6 / 12 / 24 cycles,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N_CYCLES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N_CYCLES &gt;= threshold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Cumulative dose (mg)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CUMDOSE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Relative dose intensity (%) — mean (SD)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RDOSE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 (actual/planned x 100)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analysis. Triggered at ~320 OS events (event-driven, Protocol §8.1). Strata: histology (STRAT2), region (STRAT3).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survdiff(Surv(AVAL,1-CNSR)~TRT01P+strata(STRAT2,STRAT3),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T-EFF-01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survdiff(...,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(CR + 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(Wilson — sensitivity)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Best Overall Response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CI; Wilson Score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Clopper-Pearson 95% CI primary; Wilson as sensitivity row. Subjects with no post-baseline assessment counted as non-responders (§4.3).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CR+PR),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 AND AVALC IN ('CR','PR')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ORRFL='Y'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(Wilson — sensitivity)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BinomCI(x,n,method='wilson')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(MH)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CMH p-value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p.value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BOR breakdown (CR/PR/SD/PD/NE)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AVALC level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with CR + PR + SD (≥ 8 wks),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Uses DCRFL. SD requires duration ≥8 weeks from randomisation.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 (CR+PR+SD&gt;=8wks),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ANL01FL='Y' AND AVALC IN ('CR','PR','SD')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DCRFL='Y'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+ CMH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estimate, p.value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DoR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6 months,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12 months,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Median; 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  |  Estimand: E4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 formal between-arm test (hypothesis-generating).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DoR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6 months,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6*30.4375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12 months,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12*30.4375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T-EFF-08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Per-Protocol Population (N=405)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— primary OS re-run on PP population.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(PP: PPROTFL='Y')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T-EFF-09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Landmark Analysis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Difference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Landmark Survival Comparison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Difference in survival probability with 95% CI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12 months per arm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times=365.25)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24 months per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times=730.5)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Difference (Torivumab - Placebo), 95% CI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surv_diff = surv_arm1 - surv_arm2; CI via Greenwood log-log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T-EFF-10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Restricted Mean Survival Time (OS)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Estimate /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at τ = 36 months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(N=300)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(N=150)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Difference (Torivumab −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Mean Survival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  |  Estimand: E1a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36 months.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Torivumab (tau=36 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rmst2(AVAL, 1-CNSR, arm, tau=36*30.4375) -&gt; RMST arm 1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Placebo (tau=36 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RMST arm 0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Difference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unadjusted diff, lower, 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PFS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§4.2  |  Estimand: E2a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PARAMCD='PFSINV' in ADTTE.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PFS-INV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at subsequent anti-cancer therapy,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OS — WOT,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Hazard ratio (stratified Cox)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p-value (stratified log-rank)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§13.4  |  Estimand: E1b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PARAMCD='OSWOT' in ADTTE — censors OS at min(start of subsequent anti-cancer therapy, TRTEDT + 30 days). Phase 5 ADaM gap: add OSWOT parameter to ADTTE via admiral::derive_param_tte with revised censor_conditions.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 on/within 30d of treatment),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 (incl. censored at subsequent therapy start),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OS-WOT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TRT - PBO (stratified MH)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§13.6  |  Estimand: E3a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E3a — removes implicit selection in Response Evaluable by using ITT denominator. More conservative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ORRFL='Y'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sum(ORRFL='Y') / N_ITT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(ORRFL='N' OR ORRFL is missing)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complement of responders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TRT - PBO (stratified MH)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ORRFL,TRT01PN,STRAT2,STRAT3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RD,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Clopper-Pearson 95% CI per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 by TRT01PN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Summary of AEs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serious AE (SAE)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leading to discontinuation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immune-related AE (irAE)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irAE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adverse event of special interest (AESI)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 leading to death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of subjects.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TRTEMFL='Y'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such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SAE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AESER='Y'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-&gt;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IRAEFL='Y'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AESI='Y'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 -&gt; death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TRTEMFL='Y'. Include PTs where incidence ≥5% in either arm. Sorted by decreasing Torivumab-arm incidence.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(header)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System Organ Class (SOC)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PT in SOC; sorted by AEBODSYS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occurrence; threshold &gt;= 5% either arm; sorted by Torivumab incidence desc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Exposure-adjusted rate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per 100 person-years (tern::rate_derivation)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(Grade ≥ 3)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 AND AETOXGR ∈ {3,4,5}.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Grade &gt;= 3 TEAE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Grade 3+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(Serious)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SAE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Immune-Related AEs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Pneumonitis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Colitis / Diarrhoea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Hepatitis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Endocrinopathies (any)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Diabetes mellitus type 1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Infusion-related reaction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Other irAE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Time-to-Onset / Resolution (KM)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by category × grade; median time to onset and resolution (KM). Filtered to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 category x grade (n, 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IRAECAT x AETOXGR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onset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ASTDT - TRTSDT; KM median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resolution (months)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AEOUT IN ('RECOVERED','RESOLVED')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AENDT - ASTDT; KM median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AESIs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1 (per Protocol §7.4)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[Categories per Protocol §7.4 AESI list — to be finalised at SAP lock]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flag from MedDRA PT list in Protocol §7.4.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 category x grade (n, 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AESICAT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AESICAT x AETOXGR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Within 30 days of last dose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Unknown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Deaths after data cutoff (not counted)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[Source: ADSL DTHFL='Y'; DTHCAUS]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Mixed population: on-treatment denominator = Safety; all deaths denominator = ITT (noted per row).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Within 30 days of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DTHDT-TRTEDT&lt;=30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DTHDT-TRTEDT &lt;=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DTHCAUS='DISEASE PROGRESSION'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Other / Unknown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remaining causes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Abnormalities (Shift Table)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Normal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Low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High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Table (Baseline → Worst Post-Baseline)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panel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Baseline NCI status (Normal/Low/High)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ABLFL='Y'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BNRIND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Cross-tab BNRIND x worst post-baseline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Worst post-baseline NCI status (Normal/Low/High)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ANRIND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max(ATOXGR) post-baseline -&gt;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filter (one panel per test)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= &lt;lab test&gt;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Loop over selected PARAMCDs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Alkaline Phosphatase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Bilirubin (total)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Creatinine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Sodium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Potassium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TSH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parameters...]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with ≥1 post-baseline ATOXGR ≥ 3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(PARAMCD), n (%)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ATOXGR &gt;= 3 AND ANL01FL='Y'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PARAMCD,ATOXGR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post-baseline Grade 3+ per PARAMCD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F-EFF-01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curve per TRT01P.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survival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times=seq(0,36,6)*30.4375)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F-EFF-02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F-EFF-01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PFS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times=seq(0,24,6)*30.4375)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F-EFF-03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Waterfall — Best Percent Change in SLD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Waterfall (Best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to subjects with measurable disease at baseline.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subject (sorted by best % change desc)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order by AVAL ascending (most negative = best response)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best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= (SLD_nadir - SLD_baseline) / SLD_baseline *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Bar colour by treatment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fill =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-30% (PR threshold)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geom_hline(yintercept=-30)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+20% (PD threshold)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geom_hline(yintercept=20)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F-EFF-04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Spider — SLD Change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Spider (Longitudinal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weeks from baseline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 / 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per visit (not restricted to nadir)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line per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group = USUBJID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Line colour by treatment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colour = TRT01P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F-EFF-05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Subgroup Forest (Unstratified Cox)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Per-subgroup unstratified Cox HR; overall stratified HR at top. Square size ∝ subgroup 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Per-subgroup HR + 95% CI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AVAL,CNSR,HISTSCAT,REGION1,SEX,AGEGR1,BECOG,PDL1GR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coxph(Surv(AVAL,1-CNSR)~TRT01P) per subgroup level (unstratified)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and events per subgroup level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and sum(1-CNSR) per subgroup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HR (diamond)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stratified overall (same as T-EFF-01)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log-scale HR (0.1 to 10)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scale_x_log10()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F-EFF-06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Swimmer — Responders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Swimmer Lane (Responders)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responders only.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from randomisation (months)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 - RANDDT converted to months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Lane per responder (y-axis)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horizontal bar per 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start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 IN ('CR','PR')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first response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end (PD or censored)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start + AVAL days; open arrow if censored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 event marker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AVALC='PD'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triangle marker at PD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marker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 marker at DTHDT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AEBODSYS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AENDT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AESER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AEACN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AEOUT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identifier; sort key 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System Organ Class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 (ISO 8601); sort key 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end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Action taken with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 to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outcome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L-AE-02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DTHCAUS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EOSSTT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Computed columns: days from last dose to death; days from randomisation to death.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Date of death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Primary cause of 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 (for days-since-last-dose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Randomisation date (for OS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End-of-study status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last dose to death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TRTEDT (days)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randomisation to death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DTHDT-RANDDT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RANDDT (days)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L-AE-03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AEACN='DRUG WITHDRAWN'.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L-LB-01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PARAMCD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AVISIT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ANRLO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ANRHI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ATOXGR ≥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code (e.g. ALT, HGB)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visit label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result 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lower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upper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NCI CTCAE toxicity grade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L-DS-01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TRT01P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DSSTDTC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DSDECOD='PROTOCOL DEVIATION' AND DSSCAT='MAJOR'. Shows deviation category and description.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Planned treatment arm (from ADSL)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Deviation date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Standardised disposition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Subcategory (MAJOR)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Verbatim deviation description</w:t>
            </w:r>
          </w:p>
        </w:tc>
      </w:tr>
    </w:tbl>
    <w:sectPr>
      <w:pgMar w:header="576" w:bottom="1080" w:top="1080" w:right="1152" w:left="1152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db5475978377603da76f29c68fe0bd94671a353.png"/>
<Relationship Id="rId8" Type="http://schemas.openxmlformats.org/officeDocument/2006/relationships/image" Target="media/1b876afa2c3cd95b22a47be5eed7faa73089d992.png"/>
<Relationship Id="rId9" Type="http://schemas.openxmlformats.org/officeDocument/2006/relationships/image" Target="media/9f0c4a53811382a76bb9312a626a530df62407ce.png"/>
<Relationship Id="rId10" Type="http://schemas.openxmlformats.org/officeDocument/2006/relationships/image" Target="media/93365e3f88d297c9835dc8bed83e5f3ead8d5d4a.png"/>
<Relationship Id="rId11" Type="http://schemas.openxmlformats.org/officeDocument/2006/relationships/image" Target="media/c3941e03d6b678c776b24935cea34302a7b9b87f.png"/>
<Relationship Id="rId12" Type="http://schemas.openxmlformats.org/officeDocument/2006/relationships/image" Target="media/09aa4e8a63692c3c5b74a051fa35c1ef71de66b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2026-05-16T21:19:59Z</dcterms:modified>
  <cp:category/>
</cp:coreProperties>
</file>