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311 deaths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Actual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Age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Sex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Days post 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≤ 30d?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Reported Term for Death Detail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Cause detail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 CAUSE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 CAUSE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 CAUSE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 REPORTED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 REPORTED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CARDIOVASCULAR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PENDING AUTOPSY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PENDING AUTOPSY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CARDIOVASCULAR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PENDING AUTOPSY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SUICIDE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 REPORTED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CARDIOVASCULAR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STROKE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CARDIOVASCULAR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CARDIOVASCULAR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SUICIDE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 CAUSE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 REPORTED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SUICIDE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deceased subjects with their primary cause from SDTM.DD.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death = within 30 days of last study treatment.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2026-05-17T00:14:23Z</dcterms:modified>
  <cp:category/>
</cp:coreProperties>
</file>