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Summary of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1632"/>
        <w:gridCol w:w="1632"/>
        <w:gridCol w:w="1632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(N=449)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Any AE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Any treatment-emergent AE (TEAE)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223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448 (99.8)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 (69.3)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(56.2)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282 (62.8)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5 (fatal)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Serious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(39.1)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(29.5)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154 (34.3)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Immune-related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(16.5)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TEAE leading to study drug discontinuation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(60.9)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(55.8)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262 (58.4)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TEAE leading to dose modification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212 (94.2)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206 (92.0)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418 (93.1)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n (%) = number (percentage) of subjects in the arm with at least one event of the specified type. Multiple events per subject are counted once.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TEAE = AE with onset ≥ TRTSDT and ≤ TRTEDT + 30 days.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Immune-related: ADAE.IRAEFL = 'Y' (derived from SDTM.AE.AECAT = 'IMMUNE-RELATED').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datasets/adam/adae.parquet, 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2026-05-17T00:14:13Z</dcterms:modified>
  <cp:category/>
</cp:coreProperties>
</file>