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Concomitant Medications by Indication Class and Preferred Term (≥5%)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Depression / anxiety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118 (52.7)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ESCITALOPRAM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(29.0)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SERTRALINE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INSULIN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METFORMIN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Hyperlipidaemia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133 (59.1)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ATORVASTATIN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SIMVASTATIN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Infection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151 (67.1)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AMOXICILLIN/CLAVULANATE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(35.1)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LEVOFLOXACIN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Nausea and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TROPISETRON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METOCLOPRAMIDE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GRANISETRON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ONDANSETRON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Class grouping uses ADCM.CMINDC (curated indication class from the ATC lookup).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On-treatment = ADCM.ONTRTFL='Y' (medication period overlaps TRTSDT..TRTEDT).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datasets/adam/adcm.parquet WHERE ONTRTFL='Y'.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2026-05-17T00:15:37Z</dcterms:modified>
  <cp:category/>
</cp:coreProperties>
</file>