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608"/>
        <w:gridCol w:w="1824"/>
        <w:gridCol w:w="1824"/>
        <w:gridCol w:w="182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randomised (ITT)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treated (Safety population)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Completed treatment per protocol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(19.8)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Discontinued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Progressive disease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Withdrawal by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Physician decision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Vital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Died on study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(77.3)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312 (69.3)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ITT N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Discontinuation categories from ADDS.DSCATGY + ADDS.DSDECOD.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discontinuation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datasets/adam/adds.parquet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2026-05-17T00:14:10Z</dcterms:modified>
  <cp:category/>
</cp:coreProperties>
</file>