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STUDY-DRUG ELIGIBILITY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2026-05-17T00:15:38Z</dcterms:modified>
  <cp:category/>
</cp:coreProperties>
</file>