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(59.3)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17.9 (13.2, 19.0)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(9.3, 14.4)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89.9% (80.9, 94.8)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83.9% (65.5, 92.9)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70.1% (58.1, 79.3)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(37.2, 72.2)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44.3% (31.3, 56.6)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21.7% (7.8, 40.0)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2026-05-17T00:14:11Z</dcterms:modified>
  <cp:category/>
</cp:coreProperties>
</file>