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this can be revisited once accrual extends.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2026-05-17T00:14:12Z</dcterms:modified>
  <cp:category/>
</cp:coreProperties>
</file>