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T-EX-01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896"/>
        <w:gridCol w:w="1728"/>
        <w:gridCol w:w="1728"/>
        <w:gridCol w:w="172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Treatment duration (days)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416.0 (233.0)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324.0 (202.2)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370.1 (222.7)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440 (1, 738)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314 (1, 738)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360 (1, 738)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Number of study drug cycles received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5.7 (1.0)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(1.1)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Cumulative torivumab dose (mg)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1111 (200)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1111 (200)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1200 (200, 1200)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1200 (200, 1200)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Relative dose intensity (%) — study drug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98.3 (2.6)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98.2 (2.5)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 (87.5, 100.0)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 (88.3, 100.0)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Treatment duration = ADSL.TRTDURD (TRTEDT − TRTSDT + 1 days).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Cycle count = number of TORIVUMAB or PLACEBO records in ADEX PARAMCD='DOSEAMT'.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Cumulative torivumab dose = ADEX PARAMCD='CUMDOSE', AEXTRT='TORIVUMAB' (mg).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Relative dose intensity (RDI) = ADEX PARAMCD='RDI' = 100 × actual cumulative / planned cumulative dose. Planned per cycle: torivumab/placebo 200 mg; chemo per-subject mean used as planned (synthetic-data simplification).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datasets/adam/adex.parquet + datasets/adam/adsl.parquet.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2026-05-17T00:14:10Z</dcterms:modified>
  <cp:category/>
</cp:coreProperties>
</file>