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311 deaths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Days post 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≤ 30d?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Death Detail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Cause detail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PENDING AUTOPSY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STROKE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CARDIOVASCULAR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ROAD TRAFFIC ACCIDENT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 CAUSE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CARDIAC ARREST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COMORBID ILLNESS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PROGRESSION OF NSCLC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BRAIN METASTASES -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 DUE TO 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SUICIDE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 FAILURE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PULMONARY EMBOLISM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HAEMORRHAGE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METASTATIC LUNG CANCER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HEPATIC FAILURE DUE TO LIVER METASTASES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 - IMMUNE-MEDIATED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SEPSIS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MULTI-ORGAN FAILURE SECONDARY TO CANCER PROGRESSION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deceased subjects with their primary cause from SDTM.DD.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death = within 30 days of last study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2026-05-16T22:44:03Z</dcterms:modified>
  <cp:category/>
</cp:coreProperties>
</file>