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Immune-Related Adverse Events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 = ADAE.IRAEFL='Y' (derived from SDTM.AE.AECAT='IMMUNE-RELATED').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here corresponds to SOC; refinement to dedicated irAE categories (e.g. pneumonitis / colitis / hepatitis / thyroiditis) would require a sponsor-defined IRAECAT codelist that is not yet derived in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2026-05-16T22:39:49Z</dcterms:modified>
  <cp:category/>
</cp:coreProperties>
</file>