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T-EFF-06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Disease Control Rate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Response Evaluable Population (N=432)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184"/>
        <w:gridCol w:w="2448"/>
        <w:gridCol w:w="2448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(N=220)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(N=212)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Subjects in Response Evaluable population,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220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212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Disease Control Rate (CR + PR + SD ≥8 weeks),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182 (82.7)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145 (68.4)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95% CI (Clopper-Pearson)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(77.1, 87.5)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(61.7, 74.6)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Risk difference TRT − PBO, % (95% CI Wald)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14.3 (6.3, 22.3)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 (Cochran-Mantel-Haenszel, stratified)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DCR = subjects with confirmed CBOR of CR, PR, or SD (duration ≥8 weeks from randomisation).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SD duration computed as days between first SD assessment and last OVR record.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Per-arm 95% CI by Clopper-Pearson; stratified CMH p-value (histology × region).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datasets/adam/adrs.parquet, adsl.parquet.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2026-05-16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2026-05-16T22:39:46Z</dcterms:modified>
  <cp:category/>
</cp:coreProperties>
</file>