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(N=118)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(N=86)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(59.3)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17.9 (13.2, 19.0)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12.8 (9.3, 14.4)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89.9% (80.9, 94.8)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83.9% (65.5, 92.9)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70.1% (58.1, 79.3)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(37.2, 72.2)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44.3% (31.3, 56.6)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21.7% (7.8, 40.0)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2026-05-16T22:39:46Z</dcterms:modified>
  <cp:category/>
</cp:coreProperties>
</file>