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this can be revisited once accrual extends.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2026-05-16T22:39:47Z</dcterms:modified>
  <cp:category/>
</cp:coreProperties>
</file>