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311 deaths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Age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Sex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First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Days post 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 ≤ 30d?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Result or Finding in Original Units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2024-02-16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deceased subjects with their primary cause from SDTM.DD.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On-study death = within 30 days of last study treatment.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datasets/sdtm/dd.parquet.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2026-07-19T12:53:56Z</dcterms:modified>
  <cp:category/>
</cp:coreProperties>
</file>