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T-AE-05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Immune-Related Adverse Events by Category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760"/>
        <w:gridCol w:w="2160"/>
        <w:gridCol w:w="216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4 (1.8)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19 (8.5)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Hypothyroidism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(4.9)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Hyperthyroidism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Adrenal insufficiency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Hepatobiliary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Hepatitis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Investigations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12 (5.4)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Alanine aminotransferase increased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Aspartate aminotransferase increased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10 (4.5)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Pneumonitis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(4.5)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24 (10.7)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(6.2)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Rash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(4.9)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Immune-related = ADAE.IRAEFL='Y' (derived from SDTM.AE.AECAT='IMMUNE-RELATED').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Category here corresponds to SOC; refinement to dedicated irAE categories (e.g. pneumonitis / colitis / hepatitis / thyroiditis) would require a sponsor-defined IRAECAT codelist that is not yet derived in ADAE.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datasets/adam/adae.parquet WHERE TRTEMFL='Y' AND IRAEFL='Y'.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2026-07-19T12:52:43Z</dcterms:modified>
  <cp:category/>
</cp:coreProperties>
</file>