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Restricted Mean Survival Time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Treatment effect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Restricted Mean OS at τ = 30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19.88 (18.61, 21.16)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15.32 (14.09, 16.54)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 TRT − PBO,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4.56 (2.80, 6.33)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(test of difference)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RMST(τ=30 months) — area under the KM curve up to τ.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τ = 30 months reflects the minimum of arm-specific maximum follow-up (35 mo TRT, ~32 mo PBO at-risk). SAP §13.4 proposes 36 months as the protocol-defined horizon; the 6-month gap is accepted as a permanent structural limitation (AL-06 in qc/VALIDATION-PLAN.md) because lifting τ would require extending the data cutoff and re-cascading the full pipeline. Revisitable only if accrual is extended.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E1a (SAP §13.4): sensitivity to the proportional-hazards assumption underlying T-EFF-01.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Estimated via survRM2::rmst2() (unadjusted, stratification handled via inverse-probability weighting in the package; same arms as primary).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2026-07-19T12:52:22Z</dcterms:modified>
  <cp:category/>
</cp:coreProperties>
</file>