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T-EFF-12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Overall Survival — While-on-Treatment Sensitivity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184"/>
        <w:gridCol w:w="2448"/>
        <w:gridCol w:w="2448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Number of subjects (ITT), 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Events (deaths on/within 30d of last dose),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 (40.9)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122 (54.5)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Censored — alive at TRTEDT + 30d,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 (27.1)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(21.0)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Censored — lost before TRTEDT + 30d,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(12.0)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(4.5)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OS-WOT,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20.0 (17.4, 23.7)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13.8 (12.0, 15.2)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Hazard ratio (95% CI), stratified Cox PH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0.504 (0.382, 0.664)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p-value, stratified log-rank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Estimand E1b (SAP §13.4) — isolates the treatment-period effect from late off-treatment dilution.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Event = death on or within 30 days of last study treatment (TRTEDT + 30 days).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Censor = min(TRTEDT + 30 days, LSTALVDT).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SYNTHETIC-DATA NOTE: SAP §13.4 also specifies censoring at start of subsequent anti-cancer therapy; that variable is not simulated in this dataset, so only the TRTEDT + 30d component is applied.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datasets/adam/adtte.parquet WHERE PARAMCD='OSWOT'.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2026-07-19T12:52:25Z</dcterms:modified>
  <cp:category/>
</cp:coreProperties>
</file>