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Objective Response Rate — ITT Denominator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ITT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Responders (confirmed CR/PR),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87 (38.7)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40 (17.8)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Non-responders (incl. no post-baseline assessment),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(82.2)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Of which: no post-baseline assessment (composite IE),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20.9 (12.8, 29.0)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95% CI per arm (Clopper-Pearson)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(32.3, 45.4)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(13.0, 23.4)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E3a (SAP §13.6) — uses full ITT as denominator (removes implicit selection in Response Evaluable).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Composite IE strategy retained: subjects without any post-baseline tumour assessment are counted as non-responders.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 this dataset, 0 subjects have no post-baseline assessment.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by Clopper-Pearson; stratified CMH test (histology × region).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(ITT) + adrs.parquet (CBOR).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2026-07-19T12:52:26Z</dcterms:modified>
  <cp:category/>
</cp:coreProperties>
</file>