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T-EX-01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896"/>
        <w:gridCol w:w="1728"/>
        <w:gridCol w:w="1728"/>
        <w:gridCol w:w="172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Treatment duration (days)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416.0 (233.0)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324.0 (202.2)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370.1 (222.7)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440 (1, 738)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314 (1, 738)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360 (1, 738)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Number of study drug cycles received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5.7 (1.0)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(1.1)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Cumulative torivumab dose (mg)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1111 (200)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1111 (200)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1200 (200, 1200)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1200 (200, 1200)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Relative dose intensity (%) — study drug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98.3 (2.6)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 (87.5, 100.0)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(0.0, 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Treatment duration = ADSL.TRTDURD (TRTEDT − TRTSDT + 1 days).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Cycle count = number of TORIVUMAB or PLACEBO records in ADEX PARAMCD='DOSEAMT'.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Cumulative torivumab dose = ADEX PARAMCD='CUMDOSE', AEXTRT='TORIVUMAB' (mg).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Relative dose intensity (RDI) = ADEX PARAMCD='RDI' = 100 × actual cumulative / planned cumulative dose. Planned per cycle: torivumab/placebo 200 mg; chemo per-subject mean used as planned (synthetic-data simplification).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datasets/adam/adex.parquet + datasets/adam/adsl.parquet.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2026-07-19T12:52:10Z</dcterms:modified>
  <cp:category/>
</cp:coreProperties>
</file>