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Concomitant Medications by Indication Class and Preferred Term (≥5%)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Depression / anxiety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122 (54.2)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118 (52.7)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ESCITALOPRAM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(29.0)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SERTRALINE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(29.8)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INSULIN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METFORMIN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Hyperlipidaemia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133 (59.1)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121 (54.0)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ATORVASTATIN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SIMVASTATIN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Infection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151 (67.1)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148 (66.1)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AMOXICILLIN/CLAVULANATE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(35.1)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(29.3)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LEVOFLOXACIN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Nausea and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TROPISETRON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METOCLOPRAMIDE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GRANISETRON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ONDANSETRON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PEMBROLIZUMAB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DOCETAXEL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on-treatment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Class grouping uses ADCM.CMINDC (curated indication class from the ATC lookup).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On-treatment = ADCM.ONTRTFL='Y' (medication period overlaps TRTSDT..TRTEDT).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datasets/adam/adcm.parquet WHERE ONTRTFL='Y'.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2026-09-20T16:31:48Z</dcterms:modified>
  <cp:category/>
</cp:coreProperties>
</file>