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T-DV-01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Protocol Deviations — Detail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ITT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184"/>
        <w:gridCol w:w="1632"/>
        <w:gridCol w:w="1632"/>
        <w:gridCol w:w="1632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(N=450)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Severity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Major deviations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(9.3)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(8.4)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Minor deviations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(34.7)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(40.0)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(37.3)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Subcategory (major)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ASSESSMENT OUTSIDE PROTOCOL WINDOW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(28.0)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(30.7)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(29.3)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OTHER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(7.6)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MISSED ROUTINE ASSESSMENT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(8.0)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(8.4)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LATE ASSESSMENT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(6.2)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DOSE MODIFICATION ERROR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(2.2)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MISSED REQUIRED EFFICACY ASSESSMENT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(3.6)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PROHIBITED CONCOMITANT MEDICATION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ENROLLMENT/ELIGIBILITY CRITERIA NOT MET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(1.1)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Detailed view of ADDV records with severity and subcategory breakdown.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Synthetic-data note: only one record exists (randomised-never-dosed placebo subject) because the simulator does not generate SDTM.DV.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datasets/adam/addv.parquet.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2026-09-20T16:31:48Z</dcterms:modified>
  <cp:category/>
</cp:coreProperties>
</file>