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T-EFF-05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Objective Response Rate (Investigator-Assessed)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Response Evaluable Population (N=431)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184"/>
        <w:gridCol w:w="2448"/>
        <w:gridCol w:w="2448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(N=212)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Subjects in Response Evaluable population, 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Confirmed Best Overall Response (CBOR)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Complete Response (CR),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Partial Response (PR),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(36.5)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(17.0)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Stable Disease (SD),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(46.6)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(60.8)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Progressive Disease (PD),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Not Evaluable (NE),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(8.5)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Objective Response Rate (CR + PR),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87 (39.7)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40 (18.9)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95% CI (Clopper-Pearson)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(33.2, 46.5)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(13.8, 24.8)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difference TRT − PBO, % (95% CI Wald)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20.9 (12.5, 29.2)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 (Cochran-Mantel-Haenszel, stratified)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Response Evaluable = ITT with ≥1 post-baseline tumour assessment.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Confirmed Best Overall Response (CBOR) per RECIST 1.1 — confirmation requires a second CR/PR ≥28 days after the first with no intervening PD.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Per-arm 95% CI for ORR by Clopper-Pearson exact method.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Stratified Cochran-Mantel-Haenszel test: histology × region.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SYNTHETIC-DATA NOTE: SAP §13.6 specifies BICR-assessed response; this study simulates only Investigator-assessed RS records.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datasets/adam/adrs.parquet, adsl.parquet.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2026-09-20T16:31:19Z</dcterms:modified>
  <cp:category/>
</cp:coreProperties>
</file>