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Overall Survival Landmark Analysis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9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Landmark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Difference TRT − PBO (95% CI)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months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87.9% (82.9, 91.6)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80.3% (74.5, 85.0)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 (0.8, 14.3)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75.3% (69.0, 80.4)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60.0% (53.3, 66.1)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 (6.7, 23.8)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61.1% (54.3, 67.3)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36.5% (30.1, 42.9)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 (15.5, 33.8)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42.2% (35.1, 49.2)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19.9% (14.4, 26.0)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22.4 (13.2, 31.5)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months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28.5% (21.2, 36.2)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15.3% (9.7, 21.9)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 (3.5, 23.0)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Survival probabilities at fixed landmark months by Kaplan-Meier.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95% CI on the difference via Greenwood SE (sum of arm-specific SEs).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Two-sided p-value: z = diff / SE_diff.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Reference: SAP §11 sensitivity.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2026-09-20T16:31:20Z</dcterms:modified>
  <cp:category/>
</cp:coreProperties>
</file>