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T-EFF-12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Overall Survival — While-on-Treatment Sensitivity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184"/>
        <w:gridCol w:w="2448"/>
        <w:gridCol w:w="2448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subjects (ITT), 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Events (deaths on/within 30d of last dose),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(40.9)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(54.5)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Censored — alive at TRTEDT + 30d,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(27.1)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Censored — lost before TRTEDT + 30d,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OS-WOT,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 (17.4, 23.7)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13.8 (12.0, 15.2)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Hazard ratio (95% CI), stratified Cox PH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0.504 (0.382, 0.664)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p-value, stratified log-rank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Estimand E1b (SAP §13.4) — isolates the treatment-period effect from late off-treatment dilution.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Event = death on or within 30 days of last study treatment (TRTEDT + 30 days).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Censor = min(TRTEDT + 30 days, LSTALVDT).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SYNTHETIC-DATA NOTE: SAP §13.4 also specifies censoring at start of subsequent anti-cancer therapy; that variable is not simulated in this dataset, so only the TRTEDT + 30d component is applied.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datasets/adam/adtte.parquet WHERE PARAMCD='OSWOT'.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2026-09-20T16:31:20Z</dcterms:modified>
  <cp:category/>
</cp:coreProperties>
</file>