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  |  Data cutoff: 2025-01-31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1F3864"/>
        </w:rPr>
        <w:t xml:space="preserve">T-AE-01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1F3864"/>
        </w:rPr>
        <w:t xml:space="preserve">Overall Summary of Adverse Events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Safety Population (N=449)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5184"/>
        <w:gridCol w:w="1632"/>
        <w:gridCol w:w="1632"/>
        <w:gridCol w:w="1632"/>
      </w:tblGrid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 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Torivumab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(N=225)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Placebo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(N=224)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Total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(N=449)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AE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225 (100.0)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(100.0)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449 (100.0)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treatment-emergent AE (TEAE)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225 (100.0)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223 (99.6)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448 (99.8)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Grade ≥ 3 TEAE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(69.3)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129 (57.6)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285 (63.5)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Grade 5 (fatal) TEAE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Serious TEAE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 (46.7)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(39.7)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194 (43.2)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Immune-related TEAE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(28.0)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(4.5)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 (16.3)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TEAE leading to study drug discontinuation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137 (60.9)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(54.9)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(57.9)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TEAE leading to dose modification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 (94.2)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206 (92.0)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418 (93.1)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 treatment exposure (patient-years)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256.2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198.7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454.9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TEAE events (n)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1,380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1,293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2,673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666666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Exposure-adjusted TEAE rate (events per 100 patient-years)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538.6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650.7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587.6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n (%) = number (percentage) of subjects in the arm with at least one event of the specified type. Multiple events per subject are counted once.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TEAE = AE with onset ≥ TRTSDT and ≤ TRTEDT + 30 days.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Immune-related: ADAE.IRAEFL = 'Y' (derived from SDTM.AE.AECAT = 'IMMUNE-RELATED').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Exposure-adjusted TEAE rate = TEAE events / total treatment exposure × 100, where exposure (patient-years) = ADSL.TRTDURD (TRTEDT − TRTSDT + 1) summed across the safety population and divided by 365.25. Numerator counts events, not subjects, so a subject with multiple events contributes more than once (SAP §5.5; estimand S2).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Source: datasets/adam/adae.parquet, adsl.parquet.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sectPr>
      <w:pgMar w:header="708" w:bottom="1080" w:top="1080" w:right="1152" w:left="1152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lgakava</cp:lastModifiedBy>
  <cp:revision>9</cp:revision>
  <dcterms:created xsi:type="dcterms:W3CDTF">2017-02-28T11:18:00Z</dcterms:created>
  <dcterms:modified xsi:type="dcterms:W3CDTF">2026-09-20T12:45:35Z</dcterms:modified>
  <cp:category/>
</cp:coreProperties>
</file>